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E246D0" w:rsidP="007F7E61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Farmakologia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6E679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76635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66357" w:rsidRDefault="00766357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357" w:rsidRDefault="00681B2B" w:rsidP="00CF52D5">
            <w:pPr>
              <w:pStyle w:val="Odpowiedzi"/>
              <w:snapToGrid w:val="0"/>
            </w:pPr>
            <w:r>
              <w:t xml:space="preserve">Dr Piotr Polak, dr Marcin </w:t>
            </w:r>
            <w:proofErr w:type="spellStart"/>
            <w:r>
              <w:t>Mandryk</w:t>
            </w:r>
            <w:bookmarkStart w:id="0" w:name="_GoBack"/>
            <w:bookmarkEnd w:id="0"/>
            <w:proofErr w:type="spellEnd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246D0" w:rsidP="00CF52D5">
            <w:pPr>
              <w:pStyle w:val="Odpowiedzi"/>
              <w:snapToGrid w:val="0"/>
            </w:pPr>
            <w:r>
              <w:t>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A0" w:rsidRDefault="005E3CB9" w:rsidP="00CF52D5">
            <w:pPr>
              <w:pStyle w:val="Odpowiedzi"/>
              <w:snapToGrid w:val="0"/>
            </w:pPr>
            <w:r>
              <w:t>II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246D0" w:rsidTr="004F1BD4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246D0" w:rsidRPr="0069471B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Zapoznanie studenta z grupami leków i środków leczniczych, ich zastosowaniem, mechanizmem działania, przeciwskazaniami, skutkami ubocznymi.</w:t>
            </w:r>
          </w:p>
        </w:tc>
      </w:tr>
      <w:tr w:rsidR="00E246D0" w:rsidTr="004F1BD4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246D0" w:rsidRPr="0069471B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Nabycie umiejętności prawidłowego wystawiania recept w ramach realizacji zleceń.</w:t>
            </w:r>
          </w:p>
        </w:tc>
      </w:tr>
      <w:tr w:rsidR="00E246D0" w:rsidTr="004F1BD4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246D0" w:rsidRPr="0069471B" w:rsidRDefault="00E246D0" w:rsidP="00E246D0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Nabycie wiedzy z zakresu postaci leków oraz dróg ich podawania, substancji czynnych zawartych w lekach, interakcjami i zasad dawkowania.</w:t>
            </w:r>
          </w:p>
        </w:tc>
      </w:tr>
      <w:tr w:rsidR="00E246D0" w:rsidTr="004F1BD4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246D0" w:rsidRDefault="00E246D0" w:rsidP="00E246D0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Pozyskanie umiejętności poprawnego zapisywania form recepturowych substancji leczniczych i środków spożywczych specjalnego przeznaczenia żywieniowego.</w:t>
            </w:r>
          </w:p>
        </w:tc>
      </w:tr>
      <w:tr w:rsidR="00E246D0" w:rsidTr="00E246D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E246D0" w:rsidRDefault="00E246D0" w:rsidP="00E246D0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Zdobycie umiejętności doboru odpowiedniego leku i drogi podania w zależności od wskazań klinicznych i stanu pacjenta.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E4DC8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E246D0" w:rsidTr="00CA3F6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poszczególne grupy środków leczniczych, główne mechanizmy ich działania, powodowane przez nie przemiany w organizmie człowieka i działania uboczne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75A1D" w:rsidRDefault="00F96A2B" w:rsidP="00F96A2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F96A2B">
              <w:rPr>
                <w:sz w:val="20"/>
                <w:szCs w:val="20"/>
              </w:rPr>
              <w:t>PL.A1_W22</w:t>
            </w:r>
          </w:p>
        </w:tc>
      </w:tr>
      <w:tr w:rsidR="00E246D0" w:rsidTr="00CA3F6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podstawowe zasady farmakoterapii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B0410F" w:rsidRDefault="00F96A2B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 xml:space="preserve">PL.A1_W23 </w:t>
            </w:r>
          </w:p>
        </w:tc>
      </w:tr>
      <w:tr w:rsidR="00E246D0" w:rsidTr="00CA3F6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poszczególne grupy leków, substancje czynne zawarte w lekach, zastosowanie leków oraz postacie i drogi ich podawania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75A1D" w:rsidRDefault="00F96A2B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>PL.A1_W24</w:t>
            </w:r>
          </w:p>
        </w:tc>
      </w:tr>
      <w:tr w:rsidR="00E246D0" w:rsidTr="00CA3F6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wpływ procesów chorobowych na metabolizm i eliminację leków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75A1D" w:rsidRDefault="00F96A2B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>PL.A1_W25</w:t>
            </w:r>
          </w:p>
        </w:tc>
      </w:tr>
      <w:tr w:rsidR="00E246D0" w:rsidTr="00CA3F6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działania niepożądane leków, w tym wynikające z ich interakcji, i procedurę zgłaszania działań niepożądanych leków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75A1D" w:rsidRDefault="00F96A2B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>PL.A1_W26</w:t>
            </w:r>
          </w:p>
        </w:tc>
      </w:tr>
      <w:tr w:rsidR="00E246D0" w:rsidTr="00CA3F6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zasady wystawiania recept w ramach realizacji zleceń lekarskich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75A1D" w:rsidRDefault="00F96A2B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>PL.A1_W27</w:t>
            </w:r>
          </w:p>
        </w:tc>
      </w:tr>
      <w:tr w:rsidR="00E246D0" w:rsidTr="00CA3F6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zasady leczenia krwią, jej składnikami i środkami krwiozastępczymi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B0410F" w:rsidRDefault="00F96A2B" w:rsidP="00E246D0">
            <w:pPr>
              <w:spacing w:after="0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>PL.A1_W28</w:t>
            </w:r>
          </w:p>
        </w:tc>
      </w:tr>
      <w:tr w:rsidR="00D75EB8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6D0" w:rsidTr="009432BA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posługiwać się informatorami farmaceutycznymi i bazami danych o produktach leczniczych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B0410F" w:rsidRDefault="004354E5" w:rsidP="005B276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 xml:space="preserve">PL.A1_U13 </w:t>
            </w:r>
          </w:p>
        </w:tc>
      </w:tr>
      <w:tr w:rsidR="00E246D0" w:rsidTr="009432BA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przygotowywać zapisy form recepturowych substancji leczniczych i środków spożywczych specjalnego przeznaczenia żywieniowego zleconych przez lekarza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75A1D" w:rsidRDefault="005B2768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>PL.A1_U14</w:t>
            </w:r>
          </w:p>
        </w:tc>
      </w:tr>
      <w:tr w:rsidR="00E246D0" w:rsidTr="00E246D0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obliczać dawki leków zgodnie z charakterystyką produktu leczniczego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75A1D" w:rsidRDefault="005B2768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4354E5">
              <w:rPr>
                <w:sz w:val="20"/>
                <w:szCs w:val="20"/>
              </w:rPr>
              <w:t>PL.A1_U15</w:t>
            </w:r>
          </w:p>
        </w:tc>
      </w:tr>
      <w:tr w:rsidR="00452CFF" w:rsidTr="00D31DA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46D0" w:rsidTr="006B329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ponoszenia odpowiedzialności za wykonywane czynności zawodowe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31DAC" w:rsidRDefault="00F96A2B" w:rsidP="00F96A2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PL.O1_K04</w:t>
            </w:r>
          </w:p>
        </w:tc>
      </w:tr>
      <w:tr w:rsidR="00E246D0" w:rsidTr="006B329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zasięgania opinii ekspertów w przypadku trudności z samodzielnym rozwiązaniem 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31DAC" w:rsidRDefault="00F96A2B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PL.O1_K05</w:t>
            </w:r>
          </w:p>
        </w:tc>
      </w:tr>
      <w:tr w:rsidR="00E246D0" w:rsidTr="006B329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6D0" w:rsidRDefault="00E246D0" w:rsidP="00E246D0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D0" w:rsidRPr="00E246D0" w:rsidRDefault="00E246D0" w:rsidP="00E246D0">
            <w:pPr>
              <w:spacing w:after="0"/>
              <w:rPr>
                <w:sz w:val="20"/>
                <w:szCs w:val="20"/>
              </w:rPr>
            </w:pPr>
            <w:r w:rsidRPr="00E246D0">
              <w:rPr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D0" w:rsidRPr="00D31DAC" w:rsidRDefault="00F96A2B" w:rsidP="00E246D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4354E5">
              <w:rPr>
                <w:bCs/>
                <w:sz w:val="20"/>
                <w:szCs w:val="20"/>
              </w:rPr>
              <w:t>PL.O1_K0</w:t>
            </w:r>
            <w:r>
              <w:rPr>
                <w:bCs/>
                <w:sz w:val="20"/>
                <w:szCs w:val="20"/>
              </w:rPr>
              <w:t>7</w:t>
            </w:r>
          </w:p>
        </w:tc>
      </w:tr>
    </w:tbl>
    <w:p w:rsidR="00B50D6C" w:rsidRDefault="00B50D6C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6E6791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0B422B" w:rsidTr="000B422B">
        <w:trPr>
          <w:trHeight w:val="7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E246D0">
            <w:pPr>
              <w:pStyle w:val="Nagwkitablic"/>
            </w:pPr>
            <w:r>
              <w:t>Ćwiczenia</w:t>
            </w:r>
            <w:r w:rsidR="0015662B"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422B" w:rsidRDefault="000B422B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0B422B" w:rsidTr="000B422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2B" w:rsidRDefault="00E246D0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E246D0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2B" w:rsidRDefault="000B422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2B" w:rsidRDefault="000B422B" w:rsidP="000B422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2B" w:rsidRPr="00FC6607" w:rsidRDefault="00E246D0" w:rsidP="00CF52D5">
            <w:pPr>
              <w:snapToGrid w:val="0"/>
              <w:jc w:val="center"/>
            </w:pPr>
            <w:r>
              <w:rPr>
                <w:sz w:val="22"/>
              </w:rPr>
              <w:t>3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615A78" w:rsidRDefault="00E44C17" w:rsidP="00E44C17">
      <w:pPr>
        <w:pStyle w:val="Podpunkty"/>
      </w:pPr>
      <w:r>
        <w:t xml:space="preserve">3.4. Treści kształcenia </w:t>
      </w:r>
    </w:p>
    <w:p w:rsidR="00620AB3" w:rsidRPr="00620AB3" w:rsidRDefault="00620AB3" w:rsidP="00E44C17">
      <w:pPr>
        <w:pStyle w:val="Podpunkty"/>
      </w:pPr>
    </w:p>
    <w:p w:rsidR="00615A78" w:rsidRDefault="00E246D0" w:rsidP="00615A78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 xml:space="preserve">Farmakologia – podstawowe definicje, substancje czynne, środek leczniczy, lek, mechanizmy działania leków, interakcje między lekami, działania niepożądane leków, kategorie dostępności leków, źródła informacji leków. </w:t>
      </w:r>
      <w:proofErr w:type="spellStart"/>
      <w:r w:rsidRPr="00E246D0">
        <w:rPr>
          <w:sz w:val="20"/>
          <w:szCs w:val="20"/>
          <w:lang w:eastAsia="en-US"/>
        </w:rPr>
        <w:t>Formulacja</w:t>
      </w:r>
      <w:proofErr w:type="spellEnd"/>
      <w:r w:rsidRPr="00E246D0">
        <w:rPr>
          <w:sz w:val="20"/>
          <w:szCs w:val="20"/>
          <w:lang w:eastAsia="en-US"/>
        </w:rPr>
        <w:t>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 xml:space="preserve">Farmakologia bólu - ból, leczenie bólu, natężenie bólu, leki przeciwbólowe </w:t>
      </w:r>
      <w:proofErr w:type="spellStart"/>
      <w:r w:rsidRPr="00E246D0">
        <w:rPr>
          <w:sz w:val="20"/>
          <w:szCs w:val="20"/>
          <w:lang w:eastAsia="en-US"/>
        </w:rPr>
        <w:t>opoidowe</w:t>
      </w:r>
      <w:proofErr w:type="spellEnd"/>
      <w:r w:rsidRPr="00E246D0">
        <w:rPr>
          <w:sz w:val="20"/>
          <w:szCs w:val="20"/>
          <w:lang w:eastAsia="en-US"/>
        </w:rPr>
        <w:t xml:space="preserve"> i </w:t>
      </w:r>
      <w:proofErr w:type="spellStart"/>
      <w:r w:rsidRPr="00E246D0">
        <w:rPr>
          <w:sz w:val="20"/>
          <w:szCs w:val="20"/>
          <w:lang w:eastAsia="en-US"/>
        </w:rPr>
        <w:t>nieopoidowe</w:t>
      </w:r>
      <w:proofErr w:type="spellEnd"/>
      <w:r w:rsidRPr="00E246D0">
        <w:rPr>
          <w:sz w:val="20"/>
          <w:szCs w:val="20"/>
          <w:lang w:eastAsia="en-US"/>
        </w:rPr>
        <w:t>, leki przeciwzapalne. Zależności lekowe.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Leki stosowane w chorobach układu pokarmowego, leki przeciwwymiotne, leki przeciwwrzodowe, leki przeczyszczające, leki zapierające, leki spazmolityczne.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Leki stosowane w chorobach układu oddechowego, leczenie astmy, leki wykrztuśne, przeciwkaszlowe i przeciwhistaminowe.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Farmakologia układu nerwowego, leki przeciwbólowe, znieczulające, leki nasenne i uspokajające, leki przeciwpadaczkowe, leki stosowanie w chorobie Alzheimera i Parkinsona. Leki nasenne, etanol. Padaczka. Inne choroby OUN.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Leczenie nadciśnienia, leki hipotensyjne, leki moczopędne. Leki stosowane przy niedokrwistości i wpływające na krzepnięcie krwi. Leki działające na układ krążenia i naczynia krwionośne.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 xml:space="preserve">Leki hipoglikemizujące, insulina, leki przeciwcukrzycowe. Farmakologia układu </w:t>
      </w:r>
      <w:proofErr w:type="spellStart"/>
      <w:r w:rsidRPr="00E246D0">
        <w:rPr>
          <w:sz w:val="20"/>
          <w:szCs w:val="20"/>
          <w:lang w:eastAsia="en-US"/>
        </w:rPr>
        <w:t>endokrynnego</w:t>
      </w:r>
      <w:proofErr w:type="spellEnd"/>
      <w:r w:rsidRPr="00E246D0">
        <w:rPr>
          <w:sz w:val="20"/>
          <w:szCs w:val="20"/>
          <w:lang w:eastAsia="en-US"/>
        </w:rPr>
        <w:t>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Leki dla układu sercowo-naczyniowego, choroba niedokrwienna serca.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Leki przeciwdrobnoustrojowe, przeciwbakteryjne, antybiotyki, chemioterapeutyki, leki prz</w:t>
      </w:r>
      <w:r>
        <w:rPr>
          <w:sz w:val="20"/>
          <w:szCs w:val="20"/>
          <w:lang w:eastAsia="en-US"/>
        </w:rPr>
        <w:t>eciwgrzybicze, przeciwwirusowe.</w:t>
      </w:r>
    </w:p>
    <w:p w:rsidR="00615A78" w:rsidRDefault="00615A78" w:rsidP="00615A78">
      <w:pPr>
        <w:pStyle w:val="Podpunkty"/>
        <w:rPr>
          <w:smallCaps/>
          <w:sz w:val="18"/>
        </w:rPr>
      </w:pPr>
    </w:p>
    <w:p w:rsidR="00AA5AA3" w:rsidRDefault="00AA5AA3" w:rsidP="00E44C17">
      <w:pPr>
        <w:pStyle w:val="Podpunkty"/>
        <w:rPr>
          <w:smallCaps/>
          <w:sz w:val="18"/>
        </w:rPr>
      </w:pPr>
    </w:p>
    <w:p w:rsidR="00907BFA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lastRenderedPageBreak/>
        <w:t xml:space="preserve">RODZAJ ZAJĘĆ: </w:t>
      </w:r>
      <w:r w:rsidR="00A179A2">
        <w:rPr>
          <w:smallCaps/>
          <w:sz w:val="18"/>
        </w:rPr>
        <w:t>Ćwiczenia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Działania niepożądane leków – klasyfikacje, przykłady. Interakcje między lekami, przykłady i typy interakcji.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 xml:space="preserve">Postacie leków i ich dawkowanie. Leki doustne, parenteralne, doodbytnicze, dopochwowe, wziewne, do stosowania zewnętrznego (okulistyczne, laryngologiczne, dermatologiczne, systemy </w:t>
      </w:r>
      <w:proofErr w:type="spellStart"/>
      <w:r w:rsidRPr="00E246D0">
        <w:rPr>
          <w:sz w:val="20"/>
          <w:szCs w:val="20"/>
          <w:lang w:eastAsia="en-US"/>
        </w:rPr>
        <w:t>transdermalne</w:t>
      </w:r>
      <w:proofErr w:type="spellEnd"/>
      <w:r w:rsidRPr="00E246D0">
        <w:rPr>
          <w:sz w:val="20"/>
          <w:szCs w:val="20"/>
          <w:lang w:eastAsia="en-US"/>
        </w:rPr>
        <w:t>. Zasady dawkowania leków dla poszczególnych grup wiekowych oraz stosowania leków w trakcie ciąży i karmienia.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Dobór postaci leku i drogi podania w zależności od wskazań klinicznych i stanu pacjenta.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Zasady wystawiania recept, wypisywanie recept i przeliczanie dawek leków.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Zasady zapisywania recept na środki spożywcze specjalnego przeznaczenia żywieniowego.</w:t>
      </w:r>
    </w:p>
    <w:p w:rsidR="00E246D0" w:rsidRPr="00E246D0" w:rsidRDefault="00E246D0" w:rsidP="00E246D0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Leki recepturowe – definicje, przykłady, zasady zapisywania form recepturowych. Kontrola stężenia oraz dawek.</w:t>
      </w:r>
    </w:p>
    <w:p w:rsidR="00A60E8D" w:rsidRDefault="00A60E8D" w:rsidP="00A179A2">
      <w:pPr>
        <w:pStyle w:val="Podpunkty"/>
        <w:spacing w:after="60"/>
        <w:rPr>
          <w:smallCaps/>
          <w:sz w:val="18"/>
        </w:rPr>
      </w:pPr>
    </w:p>
    <w:p w:rsidR="00E246D0" w:rsidRDefault="00E246D0" w:rsidP="00A179A2">
      <w:pPr>
        <w:pStyle w:val="Podpunkty"/>
        <w:spacing w:after="60"/>
        <w:rPr>
          <w:smallCaps/>
          <w:sz w:val="18"/>
        </w:rPr>
      </w:pPr>
      <w:r w:rsidRPr="00E246D0">
        <w:rPr>
          <w:smallCaps/>
          <w:sz w:val="18"/>
        </w:rPr>
        <w:t xml:space="preserve">SAMOKSZTAŁCENIE: </w:t>
      </w:r>
      <w:r w:rsidRPr="00E246D0">
        <w:rPr>
          <w:b w:val="0"/>
          <w:color w:val="000000"/>
          <w:spacing w:val="-4"/>
          <w:sz w:val="20"/>
        </w:rPr>
        <w:t>Utrwalanie i pogłębianie wiedzy na temat zasad farmakoterapii schorzeń omawianych na wykładach i ćwiczeniach.</w:t>
      </w:r>
    </w:p>
    <w:p w:rsidR="00A60E8D" w:rsidRPr="00A179A2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620AB3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Style w:val="TableNormal"/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242F1B" w:rsidTr="00242F1B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Metody dydaktyczne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Metody weryfikacji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Sposoby dokumentacji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</w:tr>
      <w:tr w:rsidR="00242F1B" w:rsidTr="00242F1B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WIEDZA</w:t>
            </w:r>
          </w:p>
        </w:tc>
      </w:tr>
      <w:tr w:rsidR="00242F1B" w:rsidTr="00242F1B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B50D6C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W1-W</w:t>
            </w:r>
            <w:r w:rsidR="00B50D6C">
              <w:rPr>
                <w:sz w:val="20"/>
                <w:bdr w:val="none" w:sz="0" w:space="0" w:color="auto" w:frame="1"/>
                <w:lang w:val="en-US"/>
              </w:rPr>
              <w:t>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 w:rsidP="0091782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sz w:val="20"/>
                <w:bdr w:val="none" w:sz="0" w:space="0" w:color="auto" w:frame="1"/>
              </w:rPr>
              <w:t>Wykład problemowo-informacyjny z prezentacją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sz w:val="20"/>
              </w:rPr>
              <w:t>Egzamin testowy.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sz w:val="20"/>
                <w:bdr w:val="none" w:sz="0" w:space="0" w:color="auto" w:frame="1"/>
              </w:rPr>
              <w:t>Arkusz egzaminacyjny.</w:t>
            </w:r>
          </w:p>
        </w:tc>
      </w:tr>
      <w:tr w:rsidR="00242F1B" w:rsidTr="00242F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bdr w:val="none" w:sz="0" w:space="0" w:color="auto" w:frame="1"/>
              </w:rPr>
              <w:t>Ę</w:t>
            </w:r>
            <w:r>
              <w:rPr>
                <w:sz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bdr w:val="none" w:sz="0" w:space="0" w:color="auto" w:frame="1"/>
              </w:rPr>
              <w:t>ŚCI</w:t>
            </w:r>
          </w:p>
        </w:tc>
      </w:tr>
      <w:tr w:rsidR="00242F1B" w:rsidTr="00242F1B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B50D6C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U1-U</w:t>
            </w:r>
            <w:r w:rsidR="00E246D0">
              <w:rPr>
                <w:sz w:val="20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 w:rsidP="007176F4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sz w:val="20"/>
                <w:bdr w:val="none" w:sz="0" w:space="0" w:color="auto" w:frame="1"/>
              </w:rPr>
              <w:t>Praca w grupach, analiza przypadków, dyskusja, interpretacja tekstów źródłowych.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rFonts w:eastAsia="Times New Roman"/>
                <w:sz w:val="20"/>
              </w:rPr>
              <w:t>Punktowana aktywność podczas zajęć (testy, odpowiedzi ustne i pisemne, aktywność, prezentacja).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 w:rsidP="0011153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sz w:val="20"/>
                <w:bdr w:val="none" w:sz="0" w:space="0" w:color="auto" w:frame="1"/>
              </w:rPr>
              <w:t>Kwestionariusz testu, karta oceny odpowiedzi ustnej /pisemnej, karta oceny prezentacji.</w:t>
            </w:r>
          </w:p>
        </w:tc>
      </w:tr>
      <w:tr w:rsidR="00242F1B" w:rsidTr="00242F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KOMPETENCJE SPOŁ</w:t>
            </w:r>
            <w:r>
              <w:rPr>
                <w:sz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242F1B" w:rsidTr="0006159D">
        <w:trPr>
          <w:trHeight w:val="955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B50D6C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K1-K</w:t>
            </w:r>
            <w:r w:rsidR="00E246D0">
              <w:rPr>
                <w:sz w:val="20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sz w:val="20"/>
                <w:bdr w:val="none" w:sz="0" w:space="0" w:color="auto" w:frame="1"/>
              </w:rPr>
              <w:t>Praca w grupach, analiza przypadków, dyskusja, interpretacja tekstów źródłowych,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rFonts w:eastAsia="Times New Roman"/>
                <w:sz w:val="20"/>
              </w:rPr>
              <w:t>Obserwacja w trakcie zajęć.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E246D0" w:rsidP="0011153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E246D0">
              <w:rPr>
                <w:sz w:val="20"/>
                <w:bdr w:val="none" w:sz="0" w:space="0" w:color="auto" w:frame="1"/>
              </w:rPr>
              <w:t>Arkusz obserwacyjny.</w:t>
            </w:r>
          </w:p>
        </w:tc>
      </w:tr>
    </w:tbl>
    <w:p w:rsidR="00242F1B" w:rsidRDefault="00242F1B" w:rsidP="00620AB3">
      <w:pPr>
        <w:pStyle w:val="Podpunkty"/>
        <w:spacing w:after="60"/>
        <w:ind w:left="357"/>
        <w:rPr>
          <w:b w:val="0"/>
        </w:rPr>
      </w:pPr>
    </w:p>
    <w:p w:rsidR="00216FB3" w:rsidRPr="00E246D0" w:rsidRDefault="00E246D0" w:rsidP="00E246D0">
      <w:pPr>
        <w:pStyle w:val="Podpunkty"/>
        <w:spacing w:after="80"/>
        <w:ind w:left="142"/>
        <w:rPr>
          <w:sz w:val="20"/>
        </w:rPr>
      </w:pPr>
      <w:r w:rsidRPr="00E246D0">
        <w:rPr>
          <w:sz w:val="20"/>
        </w:rPr>
        <w:t>Kryteria oceny osiągniętych efektów uczenia się</w:t>
      </w:r>
    </w:p>
    <w:p w:rsidR="00E246D0" w:rsidRPr="00E246D0" w:rsidRDefault="00E246D0" w:rsidP="00E246D0">
      <w:pPr>
        <w:pStyle w:val="Podpunkty"/>
        <w:ind w:left="142"/>
        <w:rPr>
          <w:sz w:val="20"/>
        </w:rPr>
      </w:pPr>
      <w:r w:rsidRPr="00E246D0">
        <w:rPr>
          <w:sz w:val="20"/>
        </w:rPr>
        <w:t>Obecność studentów na wykładach i ćwiczeniach jest obowiązkowa.</w:t>
      </w:r>
    </w:p>
    <w:p w:rsidR="00E246D0" w:rsidRPr="00E246D0" w:rsidRDefault="00E246D0" w:rsidP="00E246D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sz w:val="20"/>
          <w:szCs w:val="20"/>
          <w:lang w:eastAsia="en-US"/>
        </w:rPr>
      </w:pPr>
      <w:r w:rsidRPr="00E246D0">
        <w:rPr>
          <w:rFonts w:eastAsia="Times New Roman"/>
          <w:b/>
          <w:sz w:val="20"/>
          <w:szCs w:val="20"/>
          <w:bdr w:val="none" w:sz="0" w:space="0" w:color="auto" w:frame="1"/>
          <w:shd w:val="clear" w:color="auto" w:fill="FFFFFF"/>
          <w:lang w:eastAsia="en-US"/>
        </w:rPr>
        <w:t>Ćwiczenia</w:t>
      </w:r>
    </w:p>
    <w:p w:rsidR="00E246D0" w:rsidRPr="00E246D0" w:rsidRDefault="00E246D0" w:rsidP="00E246D0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>W</w:t>
      </w:r>
      <w:r w:rsidRPr="00E246D0">
        <w:rPr>
          <w:sz w:val="20"/>
          <w:szCs w:val="20"/>
          <w:lang w:eastAsia="en-US"/>
        </w:rPr>
        <w:t xml:space="preserve"> ciągu semestru każdy student może uzyskać maksymalnie </w:t>
      </w:r>
      <w:r w:rsidRPr="00E246D0">
        <w:rPr>
          <w:b/>
          <w:sz w:val="20"/>
          <w:szCs w:val="20"/>
          <w:lang w:eastAsia="en-US"/>
        </w:rPr>
        <w:t>16 punktów</w:t>
      </w:r>
      <w:r w:rsidRPr="00E246D0">
        <w:rPr>
          <w:sz w:val="20"/>
          <w:szCs w:val="20"/>
          <w:lang w:eastAsia="en-US"/>
        </w:rPr>
        <w:t xml:space="preserve">, w tym: </w:t>
      </w:r>
    </w:p>
    <w:p w:rsidR="00E246D0" w:rsidRPr="00E246D0" w:rsidRDefault="00E246D0" w:rsidP="00E246D0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b/>
          <w:sz w:val="20"/>
          <w:szCs w:val="20"/>
          <w:lang w:eastAsia="en-US"/>
        </w:rPr>
      </w:pPr>
      <w:r w:rsidRPr="00E246D0">
        <w:rPr>
          <w:b/>
          <w:sz w:val="20"/>
          <w:szCs w:val="20"/>
          <w:lang w:eastAsia="en-US"/>
        </w:rPr>
        <w:t xml:space="preserve">punkty z testów cząstkowych (maksymalnie 10 punktów z 2 testów ćwiczeniowych) 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 xml:space="preserve">(każdy test zawiera 20 pytań jednokrotnego wyboru) wg skali: 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0-6 prawidłowych odpowiedzi – „-</w:t>
      </w:r>
      <w:smartTag w:uri="urn:schemas-microsoft-com:office:smarttags" w:element="metricconverter">
        <w:smartTagPr>
          <w:attr w:name="ProductID" w:val="2”"/>
        </w:smartTagPr>
        <w:r w:rsidRPr="00E246D0">
          <w:rPr>
            <w:sz w:val="20"/>
            <w:szCs w:val="20"/>
            <w:lang w:eastAsia="en-US"/>
          </w:rPr>
          <w:t>2”</w:t>
        </w:r>
      </w:smartTag>
      <w:r w:rsidRPr="00E246D0">
        <w:rPr>
          <w:sz w:val="20"/>
          <w:szCs w:val="20"/>
          <w:lang w:eastAsia="en-US"/>
        </w:rPr>
        <w:t xml:space="preserve"> (minus dwa) punkty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7 prawidłowych odpowiedzi – 0 punktów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8 prawidłowych odpowiedzi - 1 punkt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9 prawidłowych odpowiedzi – 2 punkty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10-11 prawidłowych odpowiedzi – 3 punkty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12-13 prawidłowych odpowiedzi – 3,5 punktu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14-15 prawidłowych odpowiedzi – 4 punkty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16-17 prawidłowych odpowiedzi – 4,5 punktu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18-20 prawidłowych odpowiedzi – 5 punktów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Uwaga: Nieusprawiedliwiona nieobecność podczas testu jest równoznaczna z oceną -2. (minus dwa).</w:t>
      </w:r>
    </w:p>
    <w:p w:rsidR="00E246D0" w:rsidRPr="00E246D0" w:rsidRDefault="00E246D0" w:rsidP="00E246D0">
      <w:pPr>
        <w:numPr>
          <w:ilvl w:val="0"/>
          <w:numId w:val="30"/>
        </w:numPr>
        <w:spacing w:after="0" w:line="240" w:lineRule="auto"/>
        <w:ind w:left="714" w:hanging="357"/>
        <w:rPr>
          <w:b/>
          <w:sz w:val="20"/>
          <w:szCs w:val="20"/>
          <w:lang w:eastAsia="en-US"/>
        </w:rPr>
      </w:pPr>
      <w:r w:rsidRPr="00E246D0">
        <w:rPr>
          <w:b/>
          <w:sz w:val="20"/>
          <w:szCs w:val="20"/>
          <w:lang w:eastAsia="en-US"/>
        </w:rPr>
        <w:lastRenderedPageBreak/>
        <w:t>punkty z odpowiedzi ustnej(</w:t>
      </w:r>
      <w:proofErr w:type="spellStart"/>
      <w:r w:rsidRPr="00E246D0">
        <w:rPr>
          <w:b/>
          <w:sz w:val="20"/>
          <w:szCs w:val="20"/>
          <w:lang w:eastAsia="en-US"/>
        </w:rPr>
        <w:t>ych</w:t>
      </w:r>
      <w:proofErr w:type="spellEnd"/>
      <w:r w:rsidRPr="00E246D0">
        <w:rPr>
          <w:b/>
          <w:sz w:val="20"/>
          <w:szCs w:val="20"/>
          <w:lang w:eastAsia="en-US"/>
        </w:rPr>
        <w:t>) lub pisemnej(</w:t>
      </w:r>
      <w:proofErr w:type="spellStart"/>
      <w:r w:rsidRPr="00E246D0">
        <w:rPr>
          <w:b/>
          <w:sz w:val="20"/>
          <w:szCs w:val="20"/>
          <w:lang w:eastAsia="en-US"/>
        </w:rPr>
        <w:t>ych</w:t>
      </w:r>
      <w:proofErr w:type="spellEnd"/>
      <w:r w:rsidRPr="00E246D0">
        <w:rPr>
          <w:b/>
          <w:sz w:val="20"/>
          <w:szCs w:val="20"/>
          <w:lang w:eastAsia="en-US"/>
        </w:rPr>
        <w:t>) (maksymalnie 4 punkty – średnia z uzyskanych odpowiedzi)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 xml:space="preserve">Na dane ćwiczenie </w:t>
      </w:r>
      <w:r w:rsidRPr="00E246D0">
        <w:rPr>
          <w:sz w:val="20"/>
          <w:szCs w:val="20"/>
          <w:u w:val="single"/>
          <w:lang w:eastAsia="en-US"/>
        </w:rPr>
        <w:t xml:space="preserve">obowiązuje materiał z bieżącego i poprzedniego ćwiczenia. </w:t>
      </w:r>
      <w:r w:rsidRPr="00E246D0">
        <w:rPr>
          <w:sz w:val="20"/>
          <w:szCs w:val="20"/>
          <w:lang w:eastAsia="en-US"/>
        </w:rPr>
        <w:t xml:space="preserve">Materiał może być sprawdzany w formie ustnej i/lub pisemnej (o formie decyduje prowadzący). Student może odpowiadać ustnie lub pisemnie co najmniej 2 razy(lub więcej). Skala ocen odpowiedzi ustnej/pisemnej jest następująca: 0, 1, 1,5, 2, 2,5, 3, 3,5 i 4 punkty. Końcowa ilość punktów z odpowiedzi będzie średnią punktów uzyskanych z wszystkich odpowiedzi. 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 xml:space="preserve">Student może jeden raz w ciągu semestru być nieprzygotowany do zajęć - musi o tym poinformować prowadzącego </w:t>
      </w:r>
      <w:r w:rsidRPr="00E246D0">
        <w:rPr>
          <w:sz w:val="20"/>
          <w:szCs w:val="20"/>
          <w:u w:val="single"/>
          <w:lang w:eastAsia="en-US"/>
        </w:rPr>
        <w:t>przed rozpoczęciem ćwiczeń</w:t>
      </w:r>
      <w:r w:rsidRPr="00E246D0">
        <w:rPr>
          <w:sz w:val="20"/>
          <w:szCs w:val="20"/>
          <w:lang w:eastAsia="en-US"/>
        </w:rPr>
        <w:t>. W przypadku, gdy student będzie przygotowany na wszystkie ćwiczenia uzyskuje dodatkowo na koniec semestru 0,5 pkt.</w:t>
      </w:r>
    </w:p>
    <w:p w:rsidR="00E246D0" w:rsidRPr="00E246D0" w:rsidRDefault="00E246D0" w:rsidP="00E246D0">
      <w:pPr>
        <w:numPr>
          <w:ilvl w:val="0"/>
          <w:numId w:val="30"/>
        </w:numPr>
        <w:spacing w:after="0" w:line="240" w:lineRule="auto"/>
        <w:jc w:val="both"/>
        <w:rPr>
          <w:b/>
          <w:sz w:val="20"/>
          <w:szCs w:val="20"/>
          <w:lang w:eastAsia="en-US"/>
        </w:rPr>
      </w:pPr>
      <w:r w:rsidRPr="00E246D0">
        <w:rPr>
          <w:b/>
          <w:sz w:val="20"/>
          <w:szCs w:val="20"/>
          <w:lang w:eastAsia="en-US"/>
        </w:rPr>
        <w:t>punkty za aktywność (kompetencję i postawę) podczas zajęć (maksymalnie 1 punkt)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Aktywność studenta podczas całości zajęć (np. udział w dyskusjach, błyskotliwe odpowiedzi, ogólna postawa) będzie oceniana wg skali: 0, 0,5 i 1 pkt.</w:t>
      </w:r>
    </w:p>
    <w:p w:rsidR="00E246D0" w:rsidRPr="00E246D0" w:rsidRDefault="00E246D0" w:rsidP="00E246D0">
      <w:pPr>
        <w:numPr>
          <w:ilvl w:val="0"/>
          <w:numId w:val="30"/>
        </w:numPr>
        <w:spacing w:after="0" w:line="240" w:lineRule="auto"/>
        <w:jc w:val="both"/>
        <w:rPr>
          <w:b/>
          <w:bCs/>
          <w:sz w:val="20"/>
          <w:szCs w:val="20"/>
          <w:lang w:eastAsia="en-US"/>
        </w:rPr>
      </w:pPr>
      <w:r w:rsidRPr="00E246D0">
        <w:rPr>
          <w:b/>
          <w:bCs/>
          <w:sz w:val="20"/>
          <w:szCs w:val="20"/>
          <w:lang w:eastAsia="en-US"/>
        </w:rPr>
        <w:t xml:space="preserve">punkty za przygotowanie prezentacji - 0,5 pkt. </w:t>
      </w:r>
    </w:p>
    <w:p w:rsidR="00E246D0" w:rsidRPr="00E246D0" w:rsidRDefault="00E246D0" w:rsidP="00E246D0">
      <w:pPr>
        <w:spacing w:after="0" w:line="240" w:lineRule="auto"/>
        <w:ind w:left="709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Student może przygotować prezentację (mini-wykład trwający 10-12 min.) z tematu uzgodnionego z prowadzącym zajęcia. Prezentację należy przygotować w programie PowerPoint (format. PTT) i przesłać najpóźniej 3 dni przed planowanym terminem jej wygłoszenia na zajęciach. Plik powinien zawierać w tytule: tytuł prezentacji, nazwisko i imię, numer grupy i nazwisko prowadzącego ćwiczenia. Za przygotowanie prezentacji student może otrzymać 0,5 pkt. w ramach punktacji za aktywność. Na jednych ćwiczeniach mogą być przedstawiane maksymalnie 2 prezentacje.</w:t>
      </w: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Warunkiem</w:t>
      </w:r>
      <w:r w:rsidRPr="00E246D0">
        <w:rPr>
          <w:b/>
          <w:sz w:val="20"/>
          <w:szCs w:val="20"/>
          <w:lang w:eastAsia="en-US"/>
        </w:rPr>
        <w:t xml:space="preserve"> </w:t>
      </w:r>
      <w:r w:rsidRPr="00E246D0">
        <w:rPr>
          <w:sz w:val="20"/>
          <w:szCs w:val="20"/>
          <w:lang w:eastAsia="en-US"/>
        </w:rPr>
        <w:t xml:space="preserve">zaliczenia ćwiczeń jest uzyskanie </w:t>
      </w:r>
      <w:r w:rsidRPr="00E246D0">
        <w:rPr>
          <w:b/>
          <w:sz w:val="20"/>
          <w:szCs w:val="20"/>
          <w:lang w:eastAsia="en-US"/>
        </w:rPr>
        <w:t xml:space="preserve">minimum 8 punktów </w:t>
      </w:r>
      <w:r w:rsidRPr="00E246D0">
        <w:rPr>
          <w:sz w:val="20"/>
          <w:szCs w:val="20"/>
          <w:lang w:eastAsia="en-US"/>
        </w:rPr>
        <w:t xml:space="preserve">spośród </w:t>
      </w:r>
      <w:r w:rsidRPr="00E246D0">
        <w:rPr>
          <w:b/>
          <w:sz w:val="20"/>
          <w:szCs w:val="20"/>
          <w:lang w:eastAsia="en-US"/>
        </w:rPr>
        <w:t>16 możliwych (maksimum)</w:t>
      </w:r>
      <w:r w:rsidRPr="00E246D0">
        <w:rPr>
          <w:sz w:val="20"/>
          <w:szCs w:val="20"/>
          <w:lang w:eastAsia="en-US"/>
        </w:rPr>
        <w:t xml:space="preserve">. Studenci, którzy nie uzyskają wymaganych 8 punktów </w:t>
      </w:r>
      <w:r w:rsidRPr="00E246D0">
        <w:rPr>
          <w:sz w:val="20"/>
          <w:szCs w:val="20"/>
          <w:u w:val="single"/>
          <w:lang w:eastAsia="en-US"/>
        </w:rPr>
        <w:t xml:space="preserve">nie mogą </w:t>
      </w:r>
      <w:r w:rsidRPr="00E246D0">
        <w:rPr>
          <w:sz w:val="20"/>
          <w:szCs w:val="20"/>
          <w:lang w:eastAsia="en-US"/>
        </w:rPr>
        <w:t>przystąpić do egzaminu końcowego. Ci studenci muszą zaliczyć całość materiału w formie testu, z którego muszą uzyskać co najmniej 60% poprawnych odpowiedzi. Termin testu będzie wyznaczony w porozumieniu ze studentami.</w:t>
      </w: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Ocena końcowa z ćwiczeń będzie wystawiana wg skali:</w:t>
      </w: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8-9,5 pkt. – dostateczny (3,0)</w:t>
      </w: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10-10,5 pkt. – dość dobry (3,5)</w:t>
      </w: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11-12 pkt. – dobry (4,0)</w:t>
      </w: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12,5-13,5 pkt. – ponad dobry (4,5)</w:t>
      </w:r>
    </w:p>
    <w:p w:rsidR="00E246D0" w:rsidRPr="00E246D0" w:rsidRDefault="00E246D0" w:rsidP="00E246D0">
      <w:pPr>
        <w:spacing w:after="0" w:line="240" w:lineRule="auto"/>
        <w:jc w:val="both"/>
        <w:rPr>
          <w:sz w:val="20"/>
          <w:szCs w:val="20"/>
          <w:lang w:eastAsia="en-US"/>
        </w:rPr>
      </w:pPr>
      <w:r w:rsidRPr="00E246D0">
        <w:rPr>
          <w:sz w:val="20"/>
          <w:szCs w:val="20"/>
          <w:lang w:eastAsia="en-US"/>
        </w:rPr>
        <w:t>14-16 pkt. – bardzo dobry (5)</w:t>
      </w:r>
    </w:p>
    <w:p w:rsidR="00E246D0" w:rsidRPr="00E246D0" w:rsidRDefault="00E246D0" w:rsidP="00E246D0">
      <w:pPr>
        <w:spacing w:after="0" w:line="240" w:lineRule="auto"/>
        <w:jc w:val="both"/>
        <w:rPr>
          <w:b/>
          <w:bCs/>
          <w:sz w:val="20"/>
          <w:szCs w:val="20"/>
          <w:lang w:eastAsia="en-US"/>
        </w:rPr>
      </w:pPr>
    </w:p>
    <w:p w:rsidR="00E246D0" w:rsidRPr="00E246D0" w:rsidRDefault="00E246D0" w:rsidP="00E246D0">
      <w:pPr>
        <w:numPr>
          <w:ilvl w:val="0"/>
          <w:numId w:val="29"/>
        </w:numPr>
        <w:spacing w:after="0" w:line="240" w:lineRule="auto"/>
        <w:ind w:left="284" w:hanging="284"/>
        <w:rPr>
          <w:b/>
          <w:bCs/>
          <w:sz w:val="20"/>
          <w:szCs w:val="20"/>
          <w:lang w:eastAsia="en-US"/>
        </w:rPr>
      </w:pPr>
      <w:r w:rsidRPr="00E246D0">
        <w:rPr>
          <w:b/>
          <w:bCs/>
          <w:sz w:val="20"/>
          <w:szCs w:val="20"/>
          <w:lang w:eastAsia="en-US"/>
        </w:rPr>
        <w:t>Egzamin końcowy</w:t>
      </w: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>Egzamin końcowy odbędzie się w sesji egzaminacyjnej. Będzie miał charakter testu jednokrotnego wyboru (60 pytań). Kryterium zaliczenia przedmiotu jest uzyskanie pozytywnej oceny (3,0) z egzaminu końcowego.</w:t>
      </w:r>
    </w:p>
    <w:p w:rsidR="00E246D0" w:rsidRPr="00E246D0" w:rsidRDefault="00E246D0" w:rsidP="00E246D0">
      <w:pPr>
        <w:spacing w:after="0" w:line="240" w:lineRule="auto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>Czas trwania eg</w:t>
      </w:r>
      <w:r>
        <w:rPr>
          <w:bCs/>
          <w:sz w:val="20"/>
          <w:szCs w:val="20"/>
          <w:lang w:eastAsia="en-US"/>
        </w:rPr>
        <w:t xml:space="preserve">zaminu (zaliczenia końcowego): </w:t>
      </w:r>
      <w:r w:rsidRPr="00E246D0">
        <w:rPr>
          <w:bCs/>
          <w:sz w:val="20"/>
          <w:szCs w:val="20"/>
          <w:lang w:eastAsia="en-US"/>
        </w:rPr>
        <w:t xml:space="preserve">60 min </w:t>
      </w:r>
    </w:p>
    <w:p w:rsidR="00E246D0" w:rsidRPr="00E246D0" w:rsidRDefault="00E246D0" w:rsidP="00E246D0">
      <w:pPr>
        <w:spacing w:after="0" w:line="240" w:lineRule="auto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 xml:space="preserve">Za prawidłową odpowiedź student otrzymuje 1 punkt, za błędną 0 punktów </w:t>
      </w:r>
    </w:p>
    <w:p w:rsidR="00E246D0" w:rsidRPr="00E246D0" w:rsidRDefault="00E246D0" w:rsidP="00E246D0">
      <w:pPr>
        <w:spacing w:after="0" w:line="240" w:lineRule="auto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 xml:space="preserve">Kryteria oceny: </w:t>
      </w:r>
      <w:r w:rsidRPr="00E246D0">
        <w:rPr>
          <w:bCs/>
          <w:sz w:val="20"/>
          <w:szCs w:val="20"/>
          <w:lang w:eastAsia="en-US"/>
        </w:rPr>
        <w:br/>
        <w:t>5,</w:t>
      </w:r>
      <w:r>
        <w:rPr>
          <w:bCs/>
          <w:sz w:val="20"/>
          <w:szCs w:val="20"/>
          <w:lang w:eastAsia="en-US"/>
        </w:rPr>
        <w:t xml:space="preserve">0 – student wykazuje znajomość </w:t>
      </w:r>
      <w:r w:rsidRPr="00E246D0">
        <w:rPr>
          <w:bCs/>
          <w:sz w:val="20"/>
          <w:szCs w:val="20"/>
          <w:lang w:eastAsia="en-US"/>
        </w:rPr>
        <w:t xml:space="preserve">treści kształcenia na poziomie 93-100% </w:t>
      </w:r>
      <w:r w:rsidRPr="00E246D0">
        <w:rPr>
          <w:bCs/>
          <w:sz w:val="20"/>
          <w:szCs w:val="20"/>
          <w:lang w:eastAsia="en-US"/>
        </w:rPr>
        <w:br/>
        <w:t>4,</w:t>
      </w:r>
      <w:r>
        <w:rPr>
          <w:bCs/>
          <w:sz w:val="20"/>
          <w:szCs w:val="20"/>
          <w:lang w:eastAsia="en-US"/>
        </w:rPr>
        <w:t xml:space="preserve">5 – student wykazuje znajomość </w:t>
      </w:r>
      <w:r w:rsidRPr="00E246D0">
        <w:rPr>
          <w:bCs/>
          <w:sz w:val="20"/>
          <w:szCs w:val="20"/>
          <w:lang w:eastAsia="en-US"/>
        </w:rPr>
        <w:t xml:space="preserve">treści kształcenia na poziomie 85-92% </w:t>
      </w:r>
      <w:r w:rsidRPr="00E246D0">
        <w:rPr>
          <w:bCs/>
          <w:sz w:val="20"/>
          <w:szCs w:val="20"/>
          <w:lang w:eastAsia="en-US"/>
        </w:rPr>
        <w:br/>
        <w:t xml:space="preserve">4,0 – student </w:t>
      </w:r>
      <w:r>
        <w:rPr>
          <w:bCs/>
          <w:sz w:val="20"/>
          <w:szCs w:val="20"/>
          <w:lang w:eastAsia="en-US"/>
        </w:rPr>
        <w:t xml:space="preserve">wykazuje znajomość </w:t>
      </w:r>
      <w:r w:rsidRPr="00E246D0">
        <w:rPr>
          <w:bCs/>
          <w:sz w:val="20"/>
          <w:szCs w:val="20"/>
          <w:lang w:eastAsia="en-US"/>
        </w:rPr>
        <w:t xml:space="preserve">treści kształcenia na poziomie 77-84% </w:t>
      </w:r>
      <w:r w:rsidRPr="00E246D0">
        <w:rPr>
          <w:bCs/>
          <w:sz w:val="20"/>
          <w:szCs w:val="20"/>
          <w:lang w:eastAsia="en-US"/>
        </w:rPr>
        <w:br/>
        <w:t>3,</w:t>
      </w:r>
      <w:r>
        <w:rPr>
          <w:bCs/>
          <w:sz w:val="20"/>
          <w:szCs w:val="20"/>
          <w:lang w:eastAsia="en-US"/>
        </w:rPr>
        <w:t xml:space="preserve">5 – student wykazuje znajomość </w:t>
      </w:r>
      <w:r w:rsidRPr="00E246D0">
        <w:rPr>
          <w:bCs/>
          <w:sz w:val="20"/>
          <w:szCs w:val="20"/>
          <w:lang w:eastAsia="en-US"/>
        </w:rPr>
        <w:t xml:space="preserve">treści kształcenia na poziomie 69-76% </w:t>
      </w: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>3.</w:t>
      </w:r>
      <w:r>
        <w:rPr>
          <w:bCs/>
          <w:sz w:val="20"/>
          <w:szCs w:val="20"/>
          <w:lang w:eastAsia="en-US"/>
        </w:rPr>
        <w:t xml:space="preserve">0 – student wykazuje znajomość </w:t>
      </w:r>
      <w:r w:rsidRPr="00E246D0">
        <w:rPr>
          <w:bCs/>
          <w:sz w:val="20"/>
          <w:szCs w:val="20"/>
          <w:lang w:eastAsia="en-US"/>
        </w:rPr>
        <w:t>treści kształcenia na poziomie 60%-68%</w:t>
      </w: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 xml:space="preserve">Nieusprawiedliwiona nieobecność na egzaminie skutkuje otrzymaniem oceny niedostatecznej (2). Student nieobecny podczas egzaminu z przyczyn usprawiedliwionych będzie miał możliwość przystąpienia do egzaminu w sesji poprawkowej i będzie on traktowany jako pierwszy termin. </w:t>
      </w: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>Egzamin poprawkowy odbędzie się w formie testu sesji poprawkowej.</w:t>
      </w: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</w:p>
    <w:p w:rsidR="00E246D0" w:rsidRPr="00E246D0" w:rsidRDefault="00E246D0" w:rsidP="00E246D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  <w:iCs/>
          <w:sz w:val="20"/>
          <w:szCs w:val="20"/>
          <w:lang w:eastAsia="en-US"/>
        </w:rPr>
      </w:pPr>
      <w:r w:rsidRPr="00E246D0">
        <w:rPr>
          <w:b/>
          <w:iCs/>
          <w:sz w:val="20"/>
          <w:szCs w:val="20"/>
          <w:lang w:eastAsia="en-US"/>
        </w:rPr>
        <w:t>Zaliczenie przedmiotu i ocena końcowa</w:t>
      </w: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 xml:space="preserve">Końcowa ocena z przedmiotu będzie wypadkową średniej oceny uzyskanej z ćwiczeń i oceny z egzaminu końcowego. Ocena z ćwiczeń będzie stanowiła 50%, a ocena z egzaminu końcowego 50% końcowej oceny z przedmiotu. </w:t>
      </w:r>
    </w:p>
    <w:p w:rsidR="00E246D0" w:rsidRDefault="00E246D0" w:rsidP="00E246D0">
      <w:pPr>
        <w:spacing w:after="0" w:line="240" w:lineRule="auto"/>
        <w:ind w:firstLine="709"/>
        <w:jc w:val="both"/>
        <w:rPr>
          <w:bCs/>
          <w:sz w:val="20"/>
          <w:szCs w:val="20"/>
          <w:lang w:eastAsia="en-US"/>
        </w:rPr>
      </w:pPr>
    </w:p>
    <w:p w:rsidR="00E246D0" w:rsidRPr="00E246D0" w:rsidRDefault="00E246D0" w:rsidP="00E246D0">
      <w:pPr>
        <w:spacing w:after="0" w:line="240" w:lineRule="auto"/>
        <w:jc w:val="both"/>
        <w:rPr>
          <w:bCs/>
          <w:sz w:val="20"/>
          <w:szCs w:val="20"/>
          <w:lang w:eastAsia="en-US"/>
        </w:rPr>
      </w:pPr>
      <w:r w:rsidRPr="00E246D0">
        <w:rPr>
          <w:bCs/>
          <w:sz w:val="20"/>
          <w:szCs w:val="20"/>
          <w:lang w:eastAsia="en-US"/>
        </w:rPr>
        <w:t>Student, który nie zaliczy ćwiczeń i/lub nie otrzyma co najmniej dostatecznej oceny z egzaminu końcowego nie uzyska zaliczenia przedmiotu (ocena niedostateczna).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216FB3" w:rsidP="00E44C17">
      <w:pPr>
        <w:pStyle w:val="Podpunkty"/>
        <w:spacing w:before="120"/>
        <w:ind w:left="357" w:hanging="357"/>
      </w:pPr>
      <w:r>
        <w:t>3. 6.</w:t>
      </w:r>
      <w:r w:rsidR="00E44C17">
        <w:t xml:space="preserve"> Zalecana literatura</w:t>
      </w:r>
    </w:p>
    <w:p w:rsidR="0006159D" w:rsidRDefault="0006159D" w:rsidP="0006159D">
      <w:pPr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06159D" w:rsidRPr="0006159D" w:rsidRDefault="0006159D" w:rsidP="0006159D">
      <w:pPr>
        <w:rPr>
          <w:b/>
          <w:sz w:val="20"/>
          <w:szCs w:val="20"/>
        </w:rPr>
      </w:pPr>
      <w:r w:rsidRPr="0006159D">
        <w:rPr>
          <w:b/>
          <w:sz w:val="20"/>
          <w:szCs w:val="20"/>
        </w:rPr>
        <w:lastRenderedPageBreak/>
        <w:t xml:space="preserve">Podstawowa </w:t>
      </w:r>
    </w:p>
    <w:p w:rsidR="0006159D" w:rsidRPr="0006159D" w:rsidRDefault="0006159D" w:rsidP="0006159D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06159D">
        <w:rPr>
          <w:sz w:val="20"/>
          <w:szCs w:val="20"/>
          <w:lang w:eastAsia="en-US"/>
        </w:rPr>
        <w:t xml:space="preserve">Buczko W., </w:t>
      </w:r>
      <w:proofErr w:type="spellStart"/>
      <w:r w:rsidRPr="0006159D">
        <w:rPr>
          <w:sz w:val="20"/>
          <w:szCs w:val="20"/>
          <w:lang w:eastAsia="en-US"/>
        </w:rPr>
        <w:t>Danysz</w:t>
      </w:r>
      <w:proofErr w:type="spellEnd"/>
      <w:r w:rsidRPr="0006159D">
        <w:rPr>
          <w:sz w:val="20"/>
          <w:szCs w:val="20"/>
          <w:lang w:eastAsia="en-US"/>
        </w:rPr>
        <w:t xml:space="preserve"> A., Kompendium farmakologii i farmakoterapii. Farmakologia </w:t>
      </w:r>
      <w:proofErr w:type="spellStart"/>
      <w:r w:rsidRPr="0006159D">
        <w:rPr>
          <w:sz w:val="20"/>
          <w:szCs w:val="20"/>
          <w:lang w:eastAsia="en-US"/>
        </w:rPr>
        <w:t>Danysza</w:t>
      </w:r>
      <w:proofErr w:type="spellEnd"/>
      <w:r w:rsidRPr="0006159D">
        <w:rPr>
          <w:sz w:val="20"/>
          <w:szCs w:val="20"/>
          <w:lang w:eastAsia="en-US"/>
        </w:rPr>
        <w:t xml:space="preserve">, </w:t>
      </w:r>
      <w:proofErr w:type="spellStart"/>
      <w:r w:rsidRPr="0006159D">
        <w:rPr>
          <w:sz w:val="20"/>
          <w:szCs w:val="20"/>
          <w:lang w:eastAsia="en-US"/>
        </w:rPr>
        <w:t>Edra</w:t>
      </w:r>
      <w:proofErr w:type="spellEnd"/>
      <w:r w:rsidRPr="0006159D">
        <w:rPr>
          <w:sz w:val="20"/>
          <w:szCs w:val="20"/>
          <w:lang w:eastAsia="en-US"/>
        </w:rPr>
        <w:t xml:space="preserve"> Urban &amp; Partner, Wrocław, 2016.</w:t>
      </w:r>
    </w:p>
    <w:p w:rsidR="0006159D" w:rsidRPr="0006159D" w:rsidRDefault="0006159D" w:rsidP="0006159D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06159D">
        <w:rPr>
          <w:sz w:val="20"/>
          <w:szCs w:val="20"/>
          <w:lang w:eastAsia="en-US"/>
        </w:rPr>
        <w:t xml:space="preserve">Dominiak I., Gaworska-Krzemińska A., </w:t>
      </w:r>
      <w:proofErr w:type="spellStart"/>
      <w:r w:rsidRPr="0006159D">
        <w:rPr>
          <w:sz w:val="20"/>
          <w:szCs w:val="20"/>
          <w:lang w:eastAsia="en-US"/>
        </w:rPr>
        <w:t>Kilańska</w:t>
      </w:r>
      <w:proofErr w:type="spellEnd"/>
      <w:r w:rsidRPr="0006159D">
        <w:rPr>
          <w:sz w:val="20"/>
          <w:szCs w:val="20"/>
          <w:lang w:eastAsia="en-US"/>
        </w:rPr>
        <w:t xml:space="preserve"> D., Ordynowanie leków i wypisywanie recept - przewodnik dla pielęgniarek i położnych, 2021.</w:t>
      </w:r>
    </w:p>
    <w:p w:rsidR="0006159D" w:rsidRPr="0006159D" w:rsidRDefault="0006159D" w:rsidP="0006159D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eastAsia="en-US"/>
        </w:rPr>
      </w:pPr>
      <w:proofErr w:type="spellStart"/>
      <w:r w:rsidRPr="0006159D">
        <w:rPr>
          <w:sz w:val="20"/>
          <w:szCs w:val="20"/>
          <w:lang w:eastAsia="en-US"/>
        </w:rPr>
        <w:t>Mutschler</w:t>
      </w:r>
      <w:proofErr w:type="spellEnd"/>
      <w:r w:rsidRPr="0006159D">
        <w:rPr>
          <w:sz w:val="20"/>
          <w:szCs w:val="20"/>
          <w:lang w:eastAsia="en-US"/>
        </w:rPr>
        <w:t xml:space="preserve"> E., </w:t>
      </w:r>
      <w:proofErr w:type="spellStart"/>
      <w:r w:rsidRPr="0006159D">
        <w:rPr>
          <w:sz w:val="20"/>
          <w:szCs w:val="20"/>
          <w:lang w:eastAsia="en-US"/>
        </w:rPr>
        <w:t>Geisslinger</w:t>
      </w:r>
      <w:proofErr w:type="spellEnd"/>
      <w:r w:rsidRPr="0006159D">
        <w:rPr>
          <w:sz w:val="20"/>
          <w:szCs w:val="20"/>
          <w:lang w:eastAsia="en-US"/>
        </w:rPr>
        <w:t xml:space="preserve"> G., Menzel S., </w:t>
      </w:r>
      <w:proofErr w:type="spellStart"/>
      <w:r w:rsidRPr="0006159D">
        <w:rPr>
          <w:sz w:val="20"/>
          <w:szCs w:val="20"/>
          <w:lang w:eastAsia="en-US"/>
        </w:rPr>
        <w:t>Ruth</w:t>
      </w:r>
      <w:proofErr w:type="spellEnd"/>
      <w:r w:rsidRPr="0006159D">
        <w:rPr>
          <w:sz w:val="20"/>
          <w:szCs w:val="20"/>
          <w:lang w:eastAsia="en-US"/>
        </w:rPr>
        <w:t xml:space="preserve"> P., </w:t>
      </w:r>
      <w:proofErr w:type="spellStart"/>
      <w:r w:rsidRPr="0006159D">
        <w:rPr>
          <w:sz w:val="20"/>
          <w:szCs w:val="20"/>
          <w:lang w:eastAsia="en-US"/>
        </w:rPr>
        <w:t>Schmidtko</w:t>
      </w:r>
      <w:proofErr w:type="spellEnd"/>
      <w:r w:rsidRPr="0006159D">
        <w:rPr>
          <w:sz w:val="20"/>
          <w:szCs w:val="20"/>
          <w:lang w:eastAsia="en-US"/>
        </w:rPr>
        <w:t xml:space="preserve"> A., Farmakologia z elementami toksykologii. Farmakologia ogólna i kliniczna, toksykologia, Tom 1 i 2, </w:t>
      </w:r>
      <w:proofErr w:type="spellStart"/>
      <w:r w:rsidRPr="0006159D">
        <w:rPr>
          <w:sz w:val="20"/>
          <w:szCs w:val="20"/>
          <w:lang w:eastAsia="en-US"/>
        </w:rPr>
        <w:t>MedPharm</w:t>
      </w:r>
      <w:proofErr w:type="spellEnd"/>
      <w:r w:rsidRPr="0006159D">
        <w:rPr>
          <w:sz w:val="20"/>
          <w:szCs w:val="20"/>
          <w:lang w:eastAsia="en-US"/>
        </w:rPr>
        <w:t>, Wrocław, 2020.</w:t>
      </w:r>
    </w:p>
    <w:p w:rsidR="0006159D" w:rsidRPr="0006159D" w:rsidRDefault="0006159D" w:rsidP="0006159D">
      <w:pPr>
        <w:spacing w:after="0" w:line="240" w:lineRule="auto"/>
        <w:ind w:left="720"/>
        <w:contextualSpacing/>
        <w:jc w:val="both"/>
        <w:rPr>
          <w:rFonts w:ascii="Trebuchet MS" w:eastAsia="Times New Roman" w:hAnsi="Trebuchet MS"/>
          <w:sz w:val="18"/>
          <w:szCs w:val="18"/>
        </w:rPr>
      </w:pPr>
    </w:p>
    <w:p w:rsidR="0006159D" w:rsidRPr="0006159D" w:rsidRDefault="0006159D" w:rsidP="0006159D">
      <w:pPr>
        <w:spacing w:after="0" w:line="240" w:lineRule="auto"/>
        <w:contextualSpacing/>
        <w:jc w:val="both"/>
        <w:rPr>
          <w:rFonts w:ascii="Trebuchet MS" w:hAnsi="Trebuchet MS"/>
          <w:b/>
          <w:sz w:val="18"/>
          <w:szCs w:val="18"/>
        </w:rPr>
      </w:pPr>
      <w:r w:rsidRPr="0006159D">
        <w:rPr>
          <w:rFonts w:ascii="Trebuchet MS" w:hAnsi="Trebuchet MS"/>
          <w:b/>
          <w:sz w:val="18"/>
          <w:szCs w:val="18"/>
        </w:rPr>
        <w:t>U</w:t>
      </w:r>
      <w:r w:rsidRPr="0006159D">
        <w:rPr>
          <w:b/>
          <w:sz w:val="20"/>
          <w:szCs w:val="20"/>
        </w:rPr>
        <w:t>zupełniająca</w:t>
      </w:r>
    </w:p>
    <w:p w:rsidR="0006159D" w:rsidRPr="0006159D" w:rsidRDefault="0006159D" w:rsidP="0006159D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lang w:eastAsia="en-US"/>
        </w:rPr>
      </w:pPr>
      <w:proofErr w:type="spellStart"/>
      <w:r w:rsidRPr="0006159D">
        <w:rPr>
          <w:sz w:val="20"/>
          <w:szCs w:val="20"/>
          <w:lang w:eastAsia="en-US"/>
        </w:rPr>
        <w:t>Berezińska</w:t>
      </w:r>
      <w:proofErr w:type="spellEnd"/>
      <w:r w:rsidRPr="0006159D">
        <w:rPr>
          <w:sz w:val="20"/>
          <w:szCs w:val="20"/>
          <w:lang w:eastAsia="en-US"/>
        </w:rPr>
        <w:t xml:space="preserve"> M.,  Wiktorowska-Owczarek A., Farmakologia w zadaniach. Receptura i postacie leków, PZWL, 2018.</w:t>
      </w:r>
    </w:p>
    <w:p w:rsidR="0006159D" w:rsidRPr="0006159D" w:rsidRDefault="0006159D" w:rsidP="0006159D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06159D">
        <w:rPr>
          <w:sz w:val="20"/>
          <w:szCs w:val="20"/>
          <w:lang w:eastAsia="en-US"/>
        </w:rPr>
        <w:t>Rajtar-</w:t>
      </w:r>
      <w:proofErr w:type="spellStart"/>
      <w:r w:rsidRPr="0006159D">
        <w:rPr>
          <w:sz w:val="20"/>
          <w:szCs w:val="20"/>
          <w:lang w:eastAsia="en-US"/>
        </w:rPr>
        <w:t>Cynke</w:t>
      </w:r>
      <w:proofErr w:type="spellEnd"/>
      <w:r w:rsidRPr="0006159D">
        <w:rPr>
          <w:sz w:val="20"/>
          <w:szCs w:val="20"/>
          <w:lang w:eastAsia="en-US"/>
        </w:rPr>
        <w:t xml:space="preserve"> G., Farmakologia, PZWL, Lublin, 2015.</w:t>
      </w:r>
    </w:p>
    <w:p w:rsidR="0006159D" w:rsidRPr="0006159D" w:rsidRDefault="0006159D" w:rsidP="0006159D">
      <w:pPr>
        <w:pStyle w:val="Akapitzlist"/>
        <w:widowControl w:val="0"/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06159D">
        <w:rPr>
          <w:sz w:val="20"/>
          <w:szCs w:val="20"/>
          <w:lang w:eastAsia="en-US"/>
        </w:rPr>
        <w:t xml:space="preserve">Szmid B., Farmakologia dla zawodów pielęgniarskich, </w:t>
      </w:r>
      <w:proofErr w:type="spellStart"/>
      <w:r w:rsidRPr="0006159D">
        <w:rPr>
          <w:sz w:val="20"/>
          <w:szCs w:val="20"/>
          <w:lang w:eastAsia="en-US"/>
        </w:rPr>
        <w:t>MedPharm</w:t>
      </w:r>
      <w:proofErr w:type="spellEnd"/>
      <w:r w:rsidRPr="0006159D">
        <w:rPr>
          <w:sz w:val="20"/>
          <w:szCs w:val="20"/>
          <w:lang w:eastAsia="en-US"/>
        </w:rPr>
        <w:t xml:space="preserve"> Polska 2021.</w:t>
      </w:r>
    </w:p>
    <w:p w:rsidR="0006159D" w:rsidRPr="0006159D" w:rsidRDefault="0006159D" w:rsidP="0006159D">
      <w:pPr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976742" w:rsidRDefault="00976742" w:rsidP="00976742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6365BA" w:rsidRDefault="006365BA"/>
    <w:sectPr w:rsidR="006365BA" w:rsidSect="00CF52D5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79" w:rsidRDefault="00D32479">
      <w:pPr>
        <w:spacing w:after="0" w:line="240" w:lineRule="auto"/>
      </w:pPr>
      <w:r>
        <w:separator/>
      </w:r>
    </w:p>
  </w:endnote>
  <w:endnote w:type="continuationSeparator" w:id="0">
    <w:p w:rsidR="00D32479" w:rsidRDefault="00D3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8D167F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DF7B9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CF52D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81B2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DF7B9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CF52D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81B2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79" w:rsidRDefault="00D32479">
      <w:pPr>
        <w:spacing w:after="0" w:line="240" w:lineRule="auto"/>
      </w:pPr>
      <w:r>
        <w:separator/>
      </w:r>
    </w:p>
  </w:footnote>
  <w:footnote w:type="continuationSeparator" w:id="0">
    <w:p w:rsidR="00D32479" w:rsidRDefault="00D3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4DF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4F8"/>
    <w:multiLevelType w:val="hybridMultilevel"/>
    <w:tmpl w:val="886AC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913"/>
    <w:multiLevelType w:val="hybridMultilevel"/>
    <w:tmpl w:val="913A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4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07E4"/>
    <w:multiLevelType w:val="hybridMultilevel"/>
    <w:tmpl w:val="FA80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C241A"/>
    <w:multiLevelType w:val="hybridMultilevel"/>
    <w:tmpl w:val="3FBEB166"/>
    <w:lvl w:ilvl="0" w:tplc="3926B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E029D"/>
    <w:multiLevelType w:val="hybridMultilevel"/>
    <w:tmpl w:val="D4708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11"/>
  </w:num>
  <w:num w:numId="5">
    <w:abstractNumId w:val="23"/>
  </w:num>
  <w:num w:numId="6">
    <w:abstractNumId w:val="15"/>
  </w:num>
  <w:num w:numId="7">
    <w:abstractNumId w:val="32"/>
  </w:num>
  <w:num w:numId="8">
    <w:abstractNumId w:val="9"/>
  </w:num>
  <w:num w:numId="9">
    <w:abstractNumId w:val="20"/>
  </w:num>
  <w:num w:numId="10">
    <w:abstractNumId w:val="7"/>
  </w:num>
  <w:num w:numId="11">
    <w:abstractNumId w:val="18"/>
  </w:num>
  <w:num w:numId="12">
    <w:abstractNumId w:val="19"/>
  </w:num>
  <w:num w:numId="13">
    <w:abstractNumId w:val="16"/>
  </w:num>
  <w:num w:numId="14">
    <w:abstractNumId w:val="30"/>
  </w:num>
  <w:num w:numId="15">
    <w:abstractNumId w:val="31"/>
  </w:num>
  <w:num w:numId="16">
    <w:abstractNumId w:val="27"/>
  </w:num>
  <w:num w:numId="17">
    <w:abstractNumId w:val="10"/>
  </w:num>
  <w:num w:numId="18">
    <w:abstractNumId w:val="12"/>
  </w:num>
  <w:num w:numId="19">
    <w:abstractNumId w:val="17"/>
  </w:num>
  <w:num w:numId="20">
    <w:abstractNumId w:val="4"/>
  </w:num>
  <w:num w:numId="21">
    <w:abstractNumId w:val="6"/>
  </w:num>
  <w:num w:numId="22">
    <w:abstractNumId w:val="22"/>
  </w:num>
  <w:num w:numId="23">
    <w:abstractNumId w:val="2"/>
  </w:num>
  <w:num w:numId="24">
    <w:abstractNumId w:val="29"/>
  </w:num>
  <w:num w:numId="25">
    <w:abstractNumId w:val="24"/>
  </w:num>
  <w:num w:numId="26">
    <w:abstractNumId w:val="14"/>
  </w:num>
  <w:num w:numId="27">
    <w:abstractNumId w:val="1"/>
  </w:num>
  <w:num w:numId="28">
    <w:abstractNumId w:val="5"/>
  </w:num>
  <w:num w:numId="29">
    <w:abstractNumId w:val="21"/>
  </w:num>
  <w:num w:numId="30">
    <w:abstractNumId w:val="8"/>
  </w:num>
  <w:num w:numId="31">
    <w:abstractNumId w:val="28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341AE"/>
    <w:rsid w:val="00037119"/>
    <w:rsid w:val="000570B1"/>
    <w:rsid w:val="0006159D"/>
    <w:rsid w:val="0007708C"/>
    <w:rsid w:val="00084619"/>
    <w:rsid w:val="00092B32"/>
    <w:rsid w:val="000B422B"/>
    <w:rsid w:val="00111535"/>
    <w:rsid w:val="00120393"/>
    <w:rsid w:val="00124A1D"/>
    <w:rsid w:val="00124B6F"/>
    <w:rsid w:val="00143DF8"/>
    <w:rsid w:val="0015662B"/>
    <w:rsid w:val="00182746"/>
    <w:rsid w:val="001E4A55"/>
    <w:rsid w:val="001F451C"/>
    <w:rsid w:val="00202887"/>
    <w:rsid w:val="00204E98"/>
    <w:rsid w:val="00216FB3"/>
    <w:rsid w:val="00226617"/>
    <w:rsid w:val="00242F1B"/>
    <w:rsid w:val="0024570C"/>
    <w:rsid w:val="00247640"/>
    <w:rsid w:val="00270215"/>
    <w:rsid w:val="00295CD7"/>
    <w:rsid w:val="002B1196"/>
    <w:rsid w:val="002B3FD7"/>
    <w:rsid w:val="002D4FE6"/>
    <w:rsid w:val="002F0134"/>
    <w:rsid w:val="00303105"/>
    <w:rsid w:val="0030343D"/>
    <w:rsid w:val="00327D7D"/>
    <w:rsid w:val="00347DCE"/>
    <w:rsid w:val="003548BF"/>
    <w:rsid w:val="00397B37"/>
    <w:rsid w:val="003A19AE"/>
    <w:rsid w:val="003B5E1B"/>
    <w:rsid w:val="003B6BD0"/>
    <w:rsid w:val="003C2661"/>
    <w:rsid w:val="003E050B"/>
    <w:rsid w:val="003E6F37"/>
    <w:rsid w:val="00400146"/>
    <w:rsid w:val="00417DE1"/>
    <w:rsid w:val="00430C03"/>
    <w:rsid w:val="004354E5"/>
    <w:rsid w:val="004415B9"/>
    <w:rsid w:val="00452CFF"/>
    <w:rsid w:val="00461B1B"/>
    <w:rsid w:val="00465D49"/>
    <w:rsid w:val="004B2F97"/>
    <w:rsid w:val="004C71A0"/>
    <w:rsid w:val="004D3C7D"/>
    <w:rsid w:val="004D7841"/>
    <w:rsid w:val="004E1036"/>
    <w:rsid w:val="004F1E6C"/>
    <w:rsid w:val="004F7EEA"/>
    <w:rsid w:val="005031F3"/>
    <w:rsid w:val="00525FD3"/>
    <w:rsid w:val="0052655A"/>
    <w:rsid w:val="00561343"/>
    <w:rsid w:val="005628F9"/>
    <w:rsid w:val="00582666"/>
    <w:rsid w:val="005B0775"/>
    <w:rsid w:val="005B2768"/>
    <w:rsid w:val="005D56AC"/>
    <w:rsid w:val="005D77F1"/>
    <w:rsid w:val="005E3CB9"/>
    <w:rsid w:val="00614FE4"/>
    <w:rsid w:val="00615A78"/>
    <w:rsid w:val="00620AB3"/>
    <w:rsid w:val="0062487D"/>
    <w:rsid w:val="00627B24"/>
    <w:rsid w:val="006365BA"/>
    <w:rsid w:val="00643F67"/>
    <w:rsid w:val="006521C5"/>
    <w:rsid w:val="00671A45"/>
    <w:rsid w:val="00681B2B"/>
    <w:rsid w:val="006B6BC5"/>
    <w:rsid w:val="006E1F62"/>
    <w:rsid w:val="006E6791"/>
    <w:rsid w:val="006F2C0E"/>
    <w:rsid w:val="007111B9"/>
    <w:rsid w:val="007176F4"/>
    <w:rsid w:val="00731AF4"/>
    <w:rsid w:val="00755B03"/>
    <w:rsid w:val="00766357"/>
    <w:rsid w:val="007920B5"/>
    <w:rsid w:val="00792ED5"/>
    <w:rsid w:val="007B180F"/>
    <w:rsid w:val="007C0E27"/>
    <w:rsid w:val="007F7E61"/>
    <w:rsid w:val="00807B4C"/>
    <w:rsid w:val="008378B8"/>
    <w:rsid w:val="00840302"/>
    <w:rsid w:val="00851A1E"/>
    <w:rsid w:val="00855414"/>
    <w:rsid w:val="00872602"/>
    <w:rsid w:val="00875FAE"/>
    <w:rsid w:val="008D167F"/>
    <w:rsid w:val="008F6A9E"/>
    <w:rsid w:val="00902445"/>
    <w:rsid w:val="009055FE"/>
    <w:rsid w:val="00907BFA"/>
    <w:rsid w:val="009137BF"/>
    <w:rsid w:val="00917825"/>
    <w:rsid w:val="00920545"/>
    <w:rsid w:val="00932F2D"/>
    <w:rsid w:val="0094118F"/>
    <w:rsid w:val="009449BE"/>
    <w:rsid w:val="009532D8"/>
    <w:rsid w:val="00964A56"/>
    <w:rsid w:val="0097182F"/>
    <w:rsid w:val="00976742"/>
    <w:rsid w:val="009F148C"/>
    <w:rsid w:val="009F7EFE"/>
    <w:rsid w:val="00A0259A"/>
    <w:rsid w:val="00A06220"/>
    <w:rsid w:val="00A16173"/>
    <w:rsid w:val="00A179A2"/>
    <w:rsid w:val="00A3641C"/>
    <w:rsid w:val="00A37A4B"/>
    <w:rsid w:val="00A42599"/>
    <w:rsid w:val="00A60E8D"/>
    <w:rsid w:val="00A728C1"/>
    <w:rsid w:val="00A76E57"/>
    <w:rsid w:val="00AA0482"/>
    <w:rsid w:val="00AA5AA3"/>
    <w:rsid w:val="00AC7EEE"/>
    <w:rsid w:val="00AF44EC"/>
    <w:rsid w:val="00AF7F7A"/>
    <w:rsid w:val="00B0410F"/>
    <w:rsid w:val="00B15F2E"/>
    <w:rsid w:val="00B50D6C"/>
    <w:rsid w:val="00B700FA"/>
    <w:rsid w:val="00B77EA3"/>
    <w:rsid w:val="00B828A5"/>
    <w:rsid w:val="00B93171"/>
    <w:rsid w:val="00BC0014"/>
    <w:rsid w:val="00BC5D32"/>
    <w:rsid w:val="00C0148F"/>
    <w:rsid w:val="00C049F6"/>
    <w:rsid w:val="00C15EC7"/>
    <w:rsid w:val="00C22421"/>
    <w:rsid w:val="00C43DD0"/>
    <w:rsid w:val="00C53C5C"/>
    <w:rsid w:val="00C5498B"/>
    <w:rsid w:val="00CB24DC"/>
    <w:rsid w:val="00CC582A"/>
    <w:rsid w:val="00CF52D5"/>
    <w:rsid w:val="00CF57DB"/>
    <w:rsid w:val="00D021A3"/>
    <w:rsid w:val="00D2153C"/>
    <w:rsid w:val="00D31DAC"/>
    <w:rsid w:val="00D32479"/>
    <w:rsid w:val="00D52CE1"/>
    <w:rsid w:val="00D603D9"/>
    <w:rsid w:val="00D61D32"/>
    <w:rsid w:val="00D63B2D"/>
    <w:rsid w:val="00D75A1D"/>
    <w:rsid w:val="00D75EB8"/>
    <w:rsid w:val="00DA33C7"/>
    <w:rsid w:val="00DB2D91"/>
    <w:rsid w:val="00DB6F31"/>
    <w:rsid w:val="00DD519C"/>
    <w:rsid w:val="00DF7B9E"/>
    <w:rsid w:val="00E048AA"/>
    <w:rsid w:val="00E11693"/>
    <w:rsid w:val="00E246D0"/>
    <w:rsid w:val="00E44C17"/>
    <w:rsid w:val="00E50459"/>
    <w:rsid w:val="00E73B91"/>
    <w:rsid w:val="00E7716F"/>
    <w:rsid w:val="00E97050"/>
    <w:rsid w:val="00EC7342"/>
    <w:rsid w:val="00EE4DC8"/>
    <w:rsid w:val="00EF1F23"/>
    <w:rsid w:val="00F02E17"/>
    <w:rsid w:val="00F61426"/>
    <w:rsid w:val="00F61684"/>
    <w:rsid w:val="00F84F3A"/>
    <w:rsid w:val="00F92503"/>
    <w:rsid w:val="00F96A2B"/>
    <w:rsid w:val="00FA0754"/>
    <w:rsid w:val="00FC5A4E"/>
    <w:rsid w:val="00FD0FF3"/>
    <w:rsid w:val="00FD146C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4687EBA"/>
  <w15:docId w15:val="{BDDCDAB5-32BA-4D14-8F37-26AEA5E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46C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63B2D"/>
    <w:rPr>
      <w:color w:val="0000FF"/>
      <w:u w:val="single"/>
    </w:rPr>
  </w:style>
  <w:style w:type="table" w:customStyle="1" w:styleId="TableNormal">
    <w:name w:val="Table Normal"/>
    <w:rsid w:val="00242F1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83E3-4389-4076-8493-AE595191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1665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Rogalski</dc:creator>
  <cp:lastModifiedBy>Małgorzata Kruszyńska</cp:lastModifiedBy>
  <cp:revision>9</cp:revision>
  <dcterms:created xsi:type="dcterms:W3CDTF">2026-03-18T09:00:00Z</dcterms:created>
  <dcterms:modified xsi:type="dcterms:W3CDTF">2026-03-20T07:20:00Z</dcterms:modified>
</cp:coreProperties>
</file>