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0765B6" w:rsidP="000765B6">
            <w:pPr>
              <w:pStyle w:val="Nagwek4"/>
              <w:numPr>
                <w:ilvl w:val="0"/>
                <w:numId w:val="0"/>
              </w:numPr>
              <w:snapToGrid w:val="0"/>
              <w:spacing w:before="40" w:after="40"/>
            </w:pPr>
            <w:r>
              <w:t>Farmakologia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D9041A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EE24F6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24F6" w:rsidRDefault="00EE24F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F6" w:rsidRDefault="00456C47" w:rsidP="00CF52D5">
            <w:pPr>
              <w:pStyle w:val="Odpowiedzi"/>
              <w:snapToGrid w:val="0"/>
            </w:pPr>
            <w:r>
              <w:t xml:space="preserve">Dr </w:t>
            </w:r>
            <w:r w:rsidR="00913B2F">
              <w:t xml:space="preserve">n. med., dr n. farm. </w:t>
            </w:r>
            <w:bookmarkStart w:id="0" w:name="_GoBack"/>
            <w:bookmarkEnd w:id="0"/>
            <w:r>
              <w:t xml:space="preserve">Marcin </w:t>
            </w:r>
            <w:proofErr w:type="spellStart"/>
            <w:r>
              <w:t>Mandryk</w:t>
            </w:r>
            <w:proofErr w:type="spellEnd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D1592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0765B6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1F4D8C" w:rsidP="00BE173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</w:t>
            </w:r>
            <w:r w:rsidR="00310AA7">
              <w:rPr>
                <w:sz w:val="20"/>
                <w:szCs w:val="20"/>
              </w:rPr>
              <w:t xml:space="preserve">studenta </w:t>
            </w:r>
            <w:r>
              <w:rPr>
                <w:sz w:val="20"/>
                <w:szCs w:val="20"/>
              </w:rPr>
              <w:t>z grupami leków i środków leczniczych, ich zastosowaniem, mechanizmem działania, przeciwskazaniami, skutkami ubocznymi.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1F4D8C" w:rsidP="00BE173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prawidłowego wystawiania recept w ramach realizacji zleceń.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310AA7" w:rsidP="00BE173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</w:t>
            </w:r>
            <w:r w:rsidR="001F4D8C">
              <w:rPr>
                <w:sz w:val="20"/>
                <w:szCs w:val="20"/>
              </w:rPr>
              <w:t xml:space="preserve"> z zakresu</w:t>
            </w:r>
            <w:r>
              <w:rPr>
                <w:sz w:val="20"/>
                <w:szCs w:val="20"/>
              </w:rPr>
              <w:t xml:space="preserve"> postaci leków oraz dróg ich podawania,</w:t>
            </w:r>
            <w:r w:rsidR="001F4D8C">
              <w:rPr>
                <w:sz w:val="20"/>
                <w:szCs w:val="20"/>
              </w:rPr>
              <w:t xml:space="preserve"> substancji czynnych</w:t>
            </w:r>
            <w:r>
              <w:rPr>
                <w:sz w:val="20"/>
                <w:szCs w:val="20"/>
              </w:rPr>
              <w:t xml:space="preserve"> zawartych w lekach, interakcjami i zasad dawkowania.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310AA7" w:rsidP="00BE173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Pozyskanie umiejętności poprawnego zapisywania form</w:t>
            </w:r>
            <w:r w:rsidRPr="000F3058">
              <w:rPr>
                <w:sz w:val="20"/>
                <w:szCs w:val="20"/>
              </w:rPr>
              <w:t xml:space="preserve"> recepturowych substancji leczniczych i środków spożywczych specjal</w:t>
            </w:r>
            <w:r>
              <w:rPr>
                <w:sz w:val="20"/>
                <w:szCs w:val="20"/>
              </w:rPr>
              <w:t>nego przeznaczenia żywieniowego.</w:t>
            </w:r>
          </w:p>
        </w:tc>
      </w:tr>
      <w:tr w:rsidR="00143FAD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43FAD" w:rsidRDefault="00143FAD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43FAD" w:rsidRDefault="00143FAD" w:rsidP="00BE173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umiejętności </w:t>
            </w:r>
            <w:r w:rsidRPr="00143FAD">
              <w:rPr>
                <w:sz w:val="20"/>
                <w:szCs w:val="20"/>
              </w:rPr>
              <w:t>doboru odpowiedniego leku i drogi podania w zależności od wskazań klinicznych i</w:t>
            </w:r>
            <w:r>
              <w:rPr>
                <w:sz w:val="20"/>
                <w:szCs w:val="20"/>
              </w:rPr>
              <w:t> </w:t>
            </w:r>
            <w:r w:rsidRPr="00143FAD">
              <w:rPr>
                <w:sz w:val="20"/>
                <w:szCs w:val="20"/>
              </w:rPr>
              <w:t>stanu pacjenta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79330D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0765B6" w:rsidTr="000765B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4F1E6C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poszczególne</w:t>
            </w:r>
            <w:proofErr w:type="gramEnd"/>
            <w:r w:rsidRPr="00704008">
              <w:rPr>
                <w:sz w:val="20"/>
                <w:szCs w:val="20"/>
              </w:rPr>
              <w:t xml:space="preserve"> gru</w:t>
            </w:r>
            <w:r>
              <w:rPr>
                <w:sz w:val="20"/>
                <w:szCs w:val="20"/>
              </w:rPr>
              <w:t xml:space="preserve">py środków leczniczych, główne </w:t>
            </w:r>
            <w:r w:rsidRPr="00704008">
              <w:rPr>
                <w:sz w:val="20"/>
                <w:szCs w:val="20"/>
              </w:rPr>
              <w:t>mechanizmy ic</w:t>
            </w:r>
            <w:r>
              <w:rPr>
                <w:sz w:val="20"/>
                <w:szCs w:val="20"/>
              </w:rPr>
              <w:t xml:space="preserve">h działania i powodowane przez </w:t>
            </w:r>
            <w:r w:rsidRPr="00704008">
              <w:rPr>
                <w:sz w:val="20"/>
                <w:szCs w:val="20"/>
              </w:rPr>
              <w:t>nie przemiany w ustroju i działania uboczne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_W19</w:t>
            </w:r>
          </w:p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_W20</w:t>
            </w:r>
          </w:p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_W21</w:t>
            </w:r>
          </w:p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_W22</w:t>
            </w:r>
          </w:p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_W23</w:t>
            </w:r>
          </w:p>
          <w:p w:rsidR="000765B6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_W24</w:t>
            </w:r>
          </w:p>
          <w:p w:rsidR="000765B6" w:rsidRPr="004F1E6C" w:rsidRDefault="000765B6" w:rsidP="000765B6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_W25</w:t>
            </w:r>
          </w:p>
        </w:tc>
      </w:tr>
      <w:tr w:rsidR="000765B6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5E6582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podstawowe</w:t>
            </w:r>
            <w:proofErr w:type="gramEnd"/>
            <w:r w:rsidRPr="00704008">
              <w:rPr>
                <w:sz w:val="20"/>
                <w:szCs w:val="20"/>
              </w:rPr>
              <w:t xml:space="preserve"> zasady farmakoterapii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0765B6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FC5A4E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Pr="00704008">
              <w:rPr>
                <w:sz w:val="20"/>
                <w:szCs w:val="20"/>
              </w:rPr>
              <w:t>oszczególne</w:t>
            </w:r>
            <w:proofErr w:type="gramEnd"/>
            <w:r w:rsidRPr="007040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grupy leków, substancje czynne </w:t>
            </w:r>
            <w:r w:rsidRPr="00704008">
              <w:rPr>
                <w:sz w:val="20"/>
                <w:szCs w:val="20"/>
              </w:rPr>
              <w:t>zawarte w l</w:t>
            </w:r>
            <w:r>
              <w:rPr>
                <w:sz w:val="20"/>
                <w:szCs w:val="20"/>
              </w:rPr>
              <w:t xml:space="preserve">ekach, zastosowanie leków oraz </w:t>
            </w:r>
            <w:r w:rsidRPr="00704008">
              <w:rPr>
                <w:sz w:val="20"/>
                <w:szCs w:val="20"/>
              </w:rPr>
              <w:t>postacie i drogi ich podawania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765B6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704008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wpływ</w:t>
            </w:r>
            <w:proofErr w:type="gramEnd"/>
            <w:r w:rsidRPr="00704008">
              <w:rPr>
                <w:sz w:val="20"/>
                <w:szCs w:val="20"/>
              </w:rPr>
              <w:t xml:space="preserve"> proces</w:t>
            </w:r>
            <w:r>
              <w:rPr>
                <w:sz w:val="20"/>
                <w:szCs w:val="20"/>
              </w:rPr>
              <w:t xml:space="preserve">ów chorobowych na metabolizm i </w:t>
            </w:r>
            <w:r w:rsidRPr="00704008">
              <w:rPr>
                <w:sz w:val="20"/>
                <w:szCs w:val="20"/>
              </w:rPr>
              <w:t>eliminację leków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765B6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704008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704008">
              <w:rPr>
                <w:sz w:val="20"/>
                <w:szCs w:val="20"/>
              </w:rPr>
              <w:t>ważniejsze</w:t>
            </w:r>
            <w:proofErr w:type="gramEnd"/>
            <w:r w:rsidRPr="00704008">
              <w:rPr>
                <w:sz w:val="20"/>
                <w:szCs w:val="20"/>
              </w:rPr>
              <w:t xml:space="preserve"> dzia</w:t>
            </w:r>
            <w:r>
              <w:rPr>
                <w:sz w:val="20"/>
                <w:szCs w:val="20"/>
              </w:rPr>
              <w:t xml:space="preserve">łania niepożądane leków, w tym </w:t>
            </w:r>
            <w:r w:rsidRPr="00704008">
              <w:rPr>
                <w:sz w:val="20"/>
                <w:szCs w:val="20"/>
              </w:rPr>
              <w:t>wynikające</w:t>
            </w:r>
            <w:r>
              <w:rPr>
                <w:sz w:val="20"/>
                <w:szCs w:val="20"/>
              </w:rPr>
              <w:t xml:space="preserve"> z ich interakcji, i procedurę </w:t>
            </w:r>
            <w:r w:rsidRPr="00704008">
              <w:rPr>
                <w:sz w:val="20"/>
                <w:szCs w:val="20"/>
              </w:rPr>
              <w:t>zgłaszania działań niepożądanych leków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765B6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704008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5D3DB4">
              <w:rPr>
                <w:sz w:val="20"/>
                <w:szCs w:val="20"/>
              </w:rPr>
              <w:t>zasady</w:t>
            </w:r>
            <w:proofErr w:type="gramEnd"/>
            <w:r w:rsidRPr="005D3DB4">
              <w:rPr>
                <w:sz w:val="20"/>
                <w:szCs w:val="20"/>
              </w:rPr>
              <w:t xml:space="preserve"> wystawia</w:t>
            </w:r>
            <w:r>
              <w:rPr>
                <w:sz w:val="20"/>
                <w:szCs w:val="20"/>
              </w:rPr>
              <w:t xml:space="preserve">nia recept w ramach realizacji </w:t>
            </w:r>
            <w:r w:rsidRPr="005D3DB4">
              <w:rPr>
                <w:sz w:val="20"/>
                <w:szCs w:val="20"/>
              </w:rPr>
              <w:t>zleceń lekarskich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765B6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Default="000765B6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65B6" w:rsidRPr="005D3DB4" w:rsidRDefault="000765B6" w:rsidP="000765B6">
            <w:pPr>
              <w:widowControl w:val="0"/>
              <w:spacing w:after="0" w:line="259" w:lineRule="auto"/>
              <w:jc w:val="both"/>
              <w:rPr>
                <w:sz w:val="20"/>
                <w:szCs w:val="20"/>
              </w:rPr>
            </w:pPr>
            <w:proofErr w:type="gramStart"/>
            <w:r w:rsidRPr="005D3DB4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leczenia krwią i środkami krwiozastępczymi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5B6" w:rsidRPr="00B0410F" w:rsidRDefault="000765B6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55D9" w:rsidTr="00BE173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Default="008C55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Pr="000570B1" w:rsidRDefault="008C55D9" w:rsidP="008C55D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F3058">
              <w:rPr>
                <w:sz w:val="20"/>
                <w:szCs w:val="20"/>
              </w:rPr>
              <w:t>szacować</w:t>
            </w:r>
            <w:proofErr w:type="gramEnd"/>
            <w:r w:rsidRPr="000F3058">
              <w:rPr>
                <w:sz w:val="20"/>
                <w:szCs w:val="20"/>
              </w:rPr>
              <w:t xml:space="preserve"> niebezpieczeństwo toksykologiczne w określonych grupach wiekowych oraz w</w:t>
            </w:r>
            <w:r>
              <w:rPr>
                <w:sz w:val="20"/>
                <w:szCs w:val="20"/>
              </w:rPr>
              <w:t> </w:t>
            </w:r>
            <w:r w:rsidRPr="000F3058">
              <w:rPr>
                <w:sz w:val="20"/>
                <w:szCs w:val="20"/>
              </w:rPr>
              <w:t>różnych stanach klinicznych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5D9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PL.A1_U07</w:t>
            </w:r>
          </w:p>
          <w:p w:rsidR="008C55D9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PL.A1_U08</w:t>
            </w:r>
          </w:p>
          <w:p w:rsidR="008C55D9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PL.A1_U09</w:t>
            </w:r>
          </w:p>
          <w:p w:rsidR="008C55D9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PL.A1_U10</w:t>
            </w:r>
          </w:p>
        </w:tc>
      </w:tr>
      <w:tr w:rsidR="008C55D9" w:rsidTr="00BE1734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Default="008C55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Pr="007C0E27" w:rsidRDefault="008C55D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F3058">
              <w:rPr>
                <w:sz w:val="20"/>
                <w:szCs w:val="20"/>
              </w:rPr>
              <w:t>posługiwać</w:t>
            </w:r>
            <w:proofErr w:type="gramEnd"/>
            <w:r w:rsidRPr="000F3058">
              <w:rPr>
                <w:sz w:val="20"/>
                <w:szCs w:val="20"/>
              </w:rPr>
              <w:t xml:space="preserve"> się informatorami farmaceutycznymi i bazami danych o produktach leczniczych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5D9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55D9" w:rsidTr="00BE1734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Default="008C55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Pr="000F3058" w:rsidRDefault="008C55D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F3058">
              <w:rPr>
                <w:sz w:val="20"/>
                <w:szCs w:val="20"/>
              </w:rPr>
              <w:t>wystawia</w:t>
            </w:r>
            <w:r>
              <w:rPr>
                <w:sz w:val="20"/>
                <w:szCs w:val="20"/>
              </w:rPr>
              <w:t>ć</w:t>
            </w:r>
            <w:proofErr w:type="gramEnd"/>
            <w:r>
              <w:rPr>
                <w:sz w:val="20"/>
                <w:szCs w:val="20"/>
              </w:rPr>
              <w:t xml:space="preserve"> recepty na leki niezbędne do </w:t>
            </w:r>
            <w:r w:rsidRPr="000F3058">
              <w:rPr>
                <w:sz w:val="20"/>
                <w:szCs w:val="20"/>
              </w:rPr>
              <w:t>kontynuacji leczenia w ramach realizacji zleceń lekarskic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5D9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55D9" w:rsidTr="00BE173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Default="008C55D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5D9" w:rsidRPr="000F3058" w:rsidRDefault="008C55D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F3058">
              <w:rPr>
                <w:sz w:val="20"/>
                <w:szCs w:val="20"/>
              </w:rPr>
              <w:t>przygotowywać</w:t>
            </w:r>
            <w:proofErr w:type="gramEnd"/>
            <w:r w:rsidRPr="000F3058">
              <w:rPr>
                <w:sz w:val="20"/>
                <w:szCs w:val="20"/>
              </w:rPr>
              <w:t xml:space="preserve"> zapis form recepturowych substancji leczniczych i środków spożywczych specjalnego przeznaczenia żywieniowego zleconych przez 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5D9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8C55D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E0039E" w:rsidRDefault="008C55D9" w:rsidP="008C55D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8C55D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D9041A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8E2ECB" w:rsidTr="008E2ECB">
        <w:trPr>
          <w:trHeight w:val="7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2ECB" w:rsidRDefault="008E2ECB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2ECB" w:rsidRDefault="008E2EC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8E2ECB" w:rsidTr="008E2ECB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ECB" w:rsidRDefault="008E2EC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ECB" w:rsidRDefault="008E2EC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B" w:rsidRDefault="008E2ECB" w:rsidP="008E2E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ECB" w:rsidRDefault="008E2EC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ECB" w:rsidRPr="00FC6607" w:rsidRDefault="008E2EC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8C55D9" w:rsidRDefault="008C55D9" w:rsidP="008C55D9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</w:t>
      </w:r>
    </w:p>
    <w:p w:rsidR="00671ADE" w:rsidRDefault="00671ADE" w:rsidP="008C55D9">
      <w:pPr>
        <w:pStyle w:val="Podpunkty"/>
        <w:rPr>
          <w:smallCaps/>
          <w:sz w:val="18"/>
        </w:rPr>
      </w:pPr>
    </w:p>
    <w:p w:rsidR="00671ADE" w:rsidRPr="000659D4" w:rsidRDefault="00671ADE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 w:rsidRPr="00EB4B5E">
        <w:rPr>
          <w:b w:val="0"/>
          <w:sz w:val="20"/>
        </w:rPr>
        <w:t>Farmakologia – podstawowe definicje, substancje czynne, środek leczniczy, lek, mechanizmy działania leków, interakcje między lekami, działania niepożądane leków</w:t>
      </w:r>
      <w:r w:rsidR="00EB4B5E">
        <w:rPr>
          <w:b w:val="0"/>
          <w:sz w:val="20"/>
        </w:rPr>
        <w:t xml:space="preserve">, </w:t>
      </w:r>
      <w:r w:rsidR="000659D4">
        <w:rPr>
          <w:b w:val="0"/>
          <w:sz w:val="20"/>
        </w:rPr>
        <w:t xml:space="preserve">kategorie dostępności leków, </w:t>
      </w:r>
      <w:r w:rsidR="00EB4B5E">
        <w:rPr>
          <w:b w:val="0"/>
          <w:sz w:val="20"/>
        </w:rPr>
        <w:t>źródła informacji leków.</w:t>
      </w:r>
    </w:p>
    <w:p w:rsidR="00EB4B5E" w:rsidRDefault="00DB377E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Farmakologia bólu - b</w:t>
      </w:r>
      <w:r w:rsidR="00671ADE" w:rsidRPr="00EB4B5E">
        <w:rPr>
          <w:b w:val="0"/>
          <w:sz w:val="20"/>
        </w:rPr>
        <w:t>ól, leczenie bólu, natężenie bólu</w:t>
      </w:r>
      <w:r w:rsidR="00EB4B5E" w:rsidRPr="00EB4B5E">
        <w:rPr>
          <w:b w:val="0"/>
          <w:sz w:val="20"/>
        </w:rPr>
        <w:t xml:space="preserve">, leki przeciwbólowe </w:t>
      </w:r>
      <w:proofErr w:type="spellStart"/>
      <w:r w:rsidR="00EB4B5E" w:rsidRPr="00EB4B5E">
        <w:rPr>
          <w:b w:val="0"/>
          <w:sz w:val="20"/>
        </w:rPr>
        <w:t>opoidowe</w:t>
      </w:r>
      <w:proofErr w:type="spellEnd"/>
      <w:r w:rsidR="00EB4B5E" w:rsidRPr="00EB4B5E">
        <w:rPr>
          <w:b w:val="0"/>
          <w:sz w:val="20"/>
        </w:rPr>
        <w:t xml:space="preserve"> i </w:t>
      </w:r>
      <w:proofErr w:type="spellStart"/>
      <w:r w:rsidR="00EB4B5E" w:rsidRPr="00EB4B5E">
        <w:rPr>
          <w:b w:val="0"/>
          <w:sz w:val="20"/>
        </w:rPr>
        <w:t>nieopoidowe</w:t>
      </w:r>
      <w:proofErr w:type="spellEnd"/>
      <w:r w:rsidR="00EB4B5E" w:rsidRPr="00EB4B5E">
        <w:rPr>
          <w:b w:val="0"/>
          <w:sz w:val="20"/>
        </w:rPr>
        <w:t>, leki przeciwzapalne.</w:t>
      </w:r>
    </w:p>
    <w:p w:rsidR="000659D4" w:rsidRDefault="000659D4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Leki stosowane w chorobach układu pokarmowego, leki przeciwwymiotne, leki przeczyszczające, leki zapierające, leki spazmolityczne.</w:t>
      </w:r>
    </w:p>
    <w:p w:rsidR="00615371" w:rsidRDefault="000659D4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Leki stosowane w chorobach układu oddechowego, leczenie astmy, leki wykrztuśne</w:t>
      </w:r>
      <w:r w:rsidR="00235A46">
        <w:rPr>
          <w:b w:val="0"/>
          <w:sz w:val="20"/>
        </w:rPr>
        <w:t>, przeciwkaszlowe i </w:t>
      </w:r>
      <w:r>
        <w:rPr>
          <w:b w:val="0"/>
          <w:sz w:val="20"/>
        </w:rPr>
        <w:t>przeciwhistaminowe.</w:t>
      </w:r>
    </w:p>
    <w:p w:rsidR="000659D4" w:rsidRDefault="00DB377E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Farmakologia</w:t>
      </w:r>
      <w:r w:rsidR="00615371">
        <w:rPr>
          <w:b w:val="0"/>
          <w:sz w:val="20"/>
        </w:rPr>
        <w:t xml:space="preserve"> układu nerwowego, leki przeciwbólowe, znieczulające, leki nasenne i</w:t>
      </w:r>
      <w:r w:rsidR="00235A46">
        <w:rPr>
          <w:b w:val="0"/>
          <w:sz w:val="20"/>
        </w:rPr>
        <w:t> </w:t>
      </w:r>
      <w:r w:rsidR="00615371">
        <w:rPr>
          <w:b w:val="0"/>
          <w:sz w:val="20"/>
        </w:rPr>
        <w:t>uspokajające, leki przeciwpadaczkowe</w:t>
      </w:r>
      <w:r>
        <w:rPr>
          <w:b w:val="0"/>
          <w:sz w:val="20"/>
        </w:rPr>
        <w:t>, leki stosowanie w chorobie Alzheimera i Parkinsona</w:t>
      </w:r>
    </w:p>
    <w:p w:rsidR="00235A46" w:rsidRDefault="00235A46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Leczenie nadciśnienia, leki hipotensyjne, leki moczopędne. Leki stosowane przy niedokrwistości i wpływające na krzepnięcie krwi. Leki działające na układ krążenia i naczynia krwionośne.</w:t>
      </w:r>
    </w:p>
    <w:p w:rsidR="00235A46" w:rsidRDefault="00235A46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Leki hipoglikemizujące, insulina, leki przeciwcukrzycowe.</w:t>
      </w:r>
      <w:r w:rsidR="00DB377E">
        <w:rPr>
          <w:b w:val="0"/>
          <w:sz w:val="20"/>
        </w:rPr>
        <w:t xml:space="preserve"> Farmakologia układu </w:t>
      </w:r>
      <w:proofErr w:type="spellStart"/>
      <w:r w:rsidR="00DB377E">
        <w:rPr>
          <w:b w:val="0"/>
          <w:sz w:val="20"/>
        </w:rPr>
        <w:t>endokrynnego</w:t>
      </w:r>
      <w:proofErr w:type="spellEnd"/>
      <w:r w:rsidR="00DB377E">
        <w:rPr>
          <w:b w:val="0"/>
          <w:sz w:val="20"/>
        </w:rPr>
        <w:t>.</w:t>
      </w:r>
    </w:p>
    <w:p w:rsidR="00235A46" w:rsidRDefault="00235A46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t>Leki dla układu sercowo-naczyniowego, choroba niedokrwienna serca.</w:t>
      </w:r>
    </w:p>
    <w:p w:rsidR="00235A46" w:rsidRPr="000659D4" w:rsidRDefault="00235A46" w:rsidP="000659D4">
      <w:pPr>
        <w:pStyle w:val="Podpunkty"/>
        <w:numPr>
          <w:ilvl w:val="0"/>
          <w:numId w:val="25"/>
        </w:numPr>
        <w:spacing w:line="276" w:lineRule="auto"/>
        <w:ind w:left="714" w:hanging="357"/>
        <w:rPr>
          <w:b w:val="0"/>
          <w:sz w:val="20"/>
        </w:rPr>
      </w:pPr>
      <w:r>
        <w:rPr>
          <w:b w:val="0"/>
          <w:sz w:val="20"/>
        </w:rPr>
        <w:lastRenderedPageBreak/>
        <w:t xml:space="preserve">Leki przeciwdrobnoustrojowe, przeciwbakteryjne, </w:t>
      </w:r>
      <w:r w:rsidR="00143FAD">
        <w:rPr>
          <w:b w:val="0"/>
          <w:sz w:val="20"/>
        </w:rPr>
        <w:t xml:space="preserve">antybiotyki, chemioterapeutyki, leki </w:t>
      </w:r>
      <w:r>
        <w:rPr>
          <w:b w:val="0"/>
          <w:sz w:val="20"/>
        </w:rPr>
        <w:t>przeciwgrzybicze, przeciwwirusowe</w:t>
      </w:r>
      <w:r w:rsidR="00143FAD">
        <w:rPr>
          <w:b w:val="0"/>
          <w:sz w:val="20"/>
        </w:rPr>
        <w:t>.</w:t>
      </w:r>
    </w:p>
    <w:p w:rsidR="008C55D9" w:rsidRDefault="008C55D9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EB4B5E" w:rsidRDefault="00EB4B5E" w:rsidP="00EB4B5E">
      <w:pPr>
        <w:pStyle w:val="Podpunkty"/>
        <w:rPr>
          <w:smallCaps/>
          <w:sz w:val="18"/>
        </w:rPr>
      </w:pPr>
    </w:p>
    <w:p w:rsidR="00E44C17" w:rsidRPr="00EB4B5E" w:rsidRDefault="00EB4B5E" w:rsidP="000659D4">
      <w:pPr>
        <w:pStyle w:val="Podpunkty"/>
        <w:numPr>
          <w:ilvl w:val="0"/>
          <w:numId w:val="26"/>
        </w:numPr>
        <w:spacing w:line="276" w:lineRule="auto"/>
        <w:rPr>
          <w:smallCaps/>
          <w:sz w:val="18"/>
        </w:rPr>
      </w:pPr>
      <w:r>
        <w:rPr>
          <w:b w:val="0"/>
          <w:sz w:val="20"/>
        </w:rPr>
        <w:t>Działania niepożądane leków – klasyfikacje, przykłady. Interakcje między lekami, przykłady i typy interakcji.</w:t>
      </w:r>
    </w:p>
    <w:p w:rsidR="00EB4B5E" w:rsidRPr="00EB4B5E" w:rsidRDefault="00EB4B5E" w:rsidP="000659D4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smallCaps/>
          <w:sz w:val="18"/>
        </w:rPr>
      </w:pPr>
      <w:r>
        <w:rPr>
          <w:b w:val="0"/>
          <w:sz w:val="20"/>
        </w:rPr>
        <w:t>Postacie leków i ich dawkowanie</w:t>
      </w:r>
      <w:r w:rsidR="00143FAD">
        <w:rPr>
          <w:b w:val="0"/>
          <w:sz w:val="20"/>
        </w:rPr>
        <w:t xml:space="preserve">. </w:t>
      </w:r>
      <w:r w:rsidR="00143FAD" w:rsidRPr="00143FAD">
        <w:rPr>
          <w:b w:val="0"/>
          <w:sz w:val="20"/>
        </w:rPr>
        <w:t>Leki doustne, parenteralne, doodbytnicze,</w:t>
      </w:r>
      <w:r w:rsidR="00143FAD">
        <w:rPr>
          <w:b w:val="0"/>
          <w:sz w:val="20"/>
        </w:rPr>
        <w:t xml:space="preserve"> </w:t>
      </w:r>
      <w:r w:rsidR="00143FAD" w:rsidRPr="00143FAD">
        <w:rPr>
          <w:b w:val="0"/>
          <w:sz w:val="20"/>
        </w:rPr>
        <w:t xml:space="preserve">dopochwowe, wziewne, do stosowania zewnętrznego (okulistyczne, laryngologiczne, dermatologiczne, systemy </w:t>
      </w:r>
      <w:proofErr w:type="spellStart"/>
      <w:r w:rsidR="00143FAD" w:rsidRPr="00143FAD">
        <w:rPr>
          <w:b w:val="0"/>
          <w:sz w:val="20"/>
        </w:rPr>
        <w:t>transdermalne</w:t>
      </w:r>
      <w:proofErr w:type="spellEnd"/>
      <w:r w:rsidR="00143FAD" w:rsidRPr="00143FAD">
        <w:rPr>
          <w:b w:val="0"/>
          <w:sz w:val="20"/>
        </w:rPr>
        <w:t>. Z</w:t>
      </w:r>
      <w:r>
        <w:rPr>
          <w:b w:val="0"/>
          <w:sz w:val="20"/>
        </w:rPr>
        <w:t>asady dawkowania leków dla poszczególnych grup wiekowych oraz stosowania leków w trakcie ciąży i karmienia.</w:t>
      </w:r>
    </w:p>
    <w:p w:rsidR="00EB4B5E" w:rsidRPr="00EB4B5E" w:rsidRDefault="00EB4B5E" w:rsidP="000659D4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b w:val="0"/>
          <w:sz w:val="20"/>
        </w:rPr>
      </w:pPr>
      <w:r w:rsidRPr="00EB4B5E">
        <w:rPr>
          <w:b w:val="0"/>
          <w:sz w:val="20"/>
        </w:rPr>
        <w:t>Dobór postaci leku i drogi podania w zależności od wskazań klinicznych i stanu pacjenta</w:t>
      </w:r>
      <w:r>
        <w:rPr>
          <w:b w:val="0"/>
          <w:sz w:val="20"/>
        </w:rPr>
        <w:t>.</w:t>
      </w:r>
    </w:p>
    <w:p w:rsidR="00EB4B5E" w:rsidRPr="00143FAD" w:rsidRDefault="00EB4B5E" w:rsidP="000659D4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smallCaps/>
          <w:sz w:val="18"/>
        </w:rPr>
      </w:pPr>
      <w:r>
        <w:rPr>
          <w:b w:val="0"/>
          <w:sz w:val="20"/>
        </w:rPr>
        <w:t>Zasady wystawiania recept, wypisywanie recept i przeliczanie dawek leków.</w:t>
      </w:r>
    </w:p>
    <w:p w:rsidR="00143FAD" w:rsidRPr="00143FAD" w:rsidRDefault="00143FAD" w:rsidP="000659D4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b w:val="0"/>
          <w:sz w:val="20"/>
        </w:rPr>
      </w:pPr>
      <w:r w:rsidRPr="00143FAD">
        <w:rPr>
          <w:b w:val="0"/>
          <w:sz w:val="20"/>
        </w:rPr>
        <w:t>Zasady zapisywania recept na środki spożywcze specjalnego przeznaczenia żywieniowego</w:t>
      </w:r>
      <w:r>
        <w:rPr>
          <w:b w:val="0"/>
          <w:sz w:val="20"/>
        </w:rPr>
        <w:t>.</w:t>
      </w:r>
    </w:p>
    <w:p w:rsidR="00EB4B5E" w:rsidRPr="001A47DB" w:rsidRDefault="00EB4B5E" w:rsidP="000659D4">
      <w:pPr>
        <w:pStyle w:val="Podpunkty"/>
        <w:numPr>
          <w:ilvl w:val="0"/>
          <w:numId w:val="26"/>
        </w:numPr>
        <w:spacing w:line="276" w:lineRule="auto"/>
        <w:ind w:left="714" w:hanging="357"/>
        <w:rPr>
          <w:smallCaps/>
          <w:sz w:val="18"/>
        </w:rPr>
      </w:pPr>
      <w:r>
        <w:rPr>
          <w:b w:val="0"/>
          <w:sz w:val="20"/>
        </w:rPr>
        <w:t>Leki recepturowe</w:t>
      </w:r>
      <w:r w:rsidR="000659D4">
        <w:rPr>
          <w:b w:val="0"/>
          <w:sz w:val="20"/>
        </w:rPr>
        <w:t xml:space="preserve"> – definicje, przykłady, zasady zapisywania form recepturowych. </w:t>
      </w:r>
    </w:p>
    <w:p w:rsidR="001A47DB" w:rsidRDefault="001A47DB" w:rsidP="001A47DB">
      <w:pPr>
        <w:pStyle w:val="Podpunkty"/>
        <w:spacing w:line="276" w:lineRule="auto"/>
        <w:rPr>
          <w:b w:val="0"/>
          <w:sz w:val="20"/>
        </w:rPr>
      </w:pPr>
    </w:p>
    <w:p w:rsidR="001A47DB" w:rsidRDefault="001A47DB" w:rsidP="001A47DB">
      <w:pPr>
        <w:pStyle w:val="Podpunkty"/>
        <w:spacing w:line="276" w:lineRule="auto"/>
        <w:rPr>
          <w:smallCaps/>
          <w:sz w:val="18"/>
        </w:rPr>
      </w:pPr>
      <w:r w:rsidRPr="001A47DB">
        <w:rPr>
          <w:smallCaps/>
          <w:sz w:val="18"/>
        </w:rPr>
        <w:t>Samokształcenie:</w:t>
      </w:r>
      <w:r>
        <w:t xml:space="preserve"> </w:t>
      </w:r>
      <w:r w:rsidRPr="001A47DB">
        <w:rPr>
          <w:b w:val="0"/>
          <w:sz w:val="20"/>
        </w:rPr>
        <w:t>Utrwalanie i pogłębianie wiedzy na temat zasad farmakoterapii schorzeń omawianych na wykładach i ćwiczeniach.</w:t>
      </w:r>
    </w:p>
    <w:p w:rsidR="00D603D9" w:rsidRDefault="00D603D9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AC211A" w:rsidTr="00AC211A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AC211A" w:rsidTr="00AC211A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AC211A" w:rsidTr="00AC211A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 w:rsidP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C211A">
              <w:rPr>
                <w:sz w:val="20"/>
                <w:szCs w:val="20"/>
                <w:bdr w:val="none" w:sz="0" w:space="0" w:color="auto" w:frame="1"/>
              </w:rPr>
              <w:t>Wykład problemowo-informacyjny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1A47DB">
              <w:rPr>
                <w:rFonts w:eastAsia="Times New Roman"/>
                <w:sz w:val="20"/>
                <w:szCs w:val="20"/>
              </w:rPr>
              <w:t>gzamin</w:t>
            </w:r>
            <w:r>
              <w:rPr>
                <w:rFonts w:eastAsia="Times New Roman"/>
                <w:sz w:val="20"/>
                <w:szCs w:val="20"/>
              </w:rPr>
              <w:t xml:space="preserve"> testowy.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 w:rsidP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Arkusz egzaminacyjny.</w:t>
            </w:r>
          </w:p>
        </w:tc>
      </w:tr>
      <w:tr w:rsidR="00AC211A" w:rsidTr="00AC211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AC211A" w:rsidTr="00AC211A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AC211A">
              <w:rPr>
                <w:sz w:val="20"/>
                <w:szCs w:val="20"/>
                <w:bdr w:val="none" w:sz="0" w:space="0" w:color="auto" w:frame="1"/>
              </w:rPr>
              <w:t>raca w grupach, analiza przypadków, dyskusja, interpretacja tekstów źródłowych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 w:rsidP="00AC211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proofErr w:type="spellStart"/>
            <w:r w:rsidRPr="001A47DB">
              <w:rPr>
                <w:rFonts w:eastAsia="Times New Roman"/>
                <w:sz w:val="20"/>
                <w:szCs w:val="20"/>
              </w:rPr>
              <w:t>Puntkowana</w:t>
            </w:r>
            <w:proofErr w:type="spellEnd"/>
            <w:r w:rsidRPr="001A47DB">
              <w:rPr>
                <w:rFonts w:eastAsia="Times New Roman"/>
                <w:sz w:val="20"/>
                <w:szCs w:val="20"/>
              </w:rPr>
              <w:t xml:space="preserve"> aktywność podczas zajęć (testy, odpowiedzi ustne i pi</w:t>
            </w:r>
            <w:r>
              <w:rPr>
                <w:rFonts w:eastAsia="Times New Roman"/>
                <w:sz w:val="20"/>
                <w:szCs w:val="20"/>
              </w:rPr>
              <w:t>semne, aktywność, prezentacja).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2D117F" w:rsidP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</w:t>
            </w:r>
            <w:r w:rsidR="00AC211A" w:rsidRPr="00AC211A">
              <w:rPr>
                <w:sz w:val="20"/>
                <w:szCs w:val="20"/>
                <w:bdr w:val="none" w:sz="0" w:space="0" w:color="auto" w:frame="1"/>
              </w:rPr>
              <w:t>westionariusz testu, karta oceny odpowiedzi ustnej /pisemnej, karta oceny prezentacji</w:t>
            </w:r>
            <w:r w:rsidR="00AC211A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AC211A" w:rsidTr="00AC211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C211A" w:rsidRDefault="00AC211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AC211A" w:rsidTr="002D117F">
        <w:trPr>
          <w:trHeight w:val="90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 w:rsidP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C211A">
              <w:rPr>
                <w:sz w:val="20"/>
                <w:szCs w:val="20"/>
                <w:bdr w:val="none" w:sz="0" w:space="0" w:color="auto" w:frame="1"/>
              </w:rPr>
              <w:t>Praca w grupach, analiza przypadków, dyskusja, i</w:t>
            </w:r>
            <w:r w:rsidR="002D117F">
              <w:rPr>
                <w:sz w:val="20"/>
                <w:szCs w:val="20"/>
                <w:bdr w:val="none" w:sz="0" w:space="0" w:color="auto" w:frame="1"/>
              </w:rPr>
              <w:t>nterpretacja tekstów źródłowych,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 w trakcie zajęć.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211A" w:rsidRDefault="00AC211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AC211A">
              <w:rPr>
                <w:sz w:val="20"/>
                <w:szCs w:val="20"/>
                <w:bdr w:val="none" w:sz="0" w:space="0" w:color="auto" w:frame="1"/>
              </w:rPr>
              <w:t>Arkusz obserwacyjny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:rsidR="001A47DB" w:rsidRDefault="001A47DB" w:rsidP="00E44C17">
      <w:pPr>
        <w:pStyle w:val="Podpunkty"/>
        <w:spacing w:after="60"/>
        <w:ind w:left="357"/>
      </w:pPr>
    </w:p>
    <w:p w:rsidR="001A47DB" w:rsidRDefault="001A47DB" w:rsidP="00E44C17">
      <w:pPr>
        <w:pStyle w:val="Podpunkty"/>
        <w:spacing w:after="60"/>
        <w:ind w:left="357"/>
      </w:pPr>
      <w:r>
        <w:t>Kryteria oceny osiągniętych efektów uczenia się</w:t>
      </w:r>
    </w:p>
    <w:p w:rsidR="00305A10" w:rsidRDefault="00305A10" w:rsidP="00E44C17">
      <w:pPr>
        <w:pStyle w:val="Podpunkty"/>
        <w:spacing w:after="60"/>
        <w:ind w:left="357"/>
      </w:pPr>
    </w:p>
    <w:p w:rsidR="00305A10" w:rsidRPr="00305A10" w:rsidRDefault="00305A10" w:rsidP="00305A10">
      <w:pPr>
        <w:pStyle w:val="Podpunkty"/>
        <w:spacing w:after="60"/>
        <w:ind w:left="357"/>
      </w:pPr>
      <w:r w:rsidRPr="00305A10">
        <w:t>Obecność studentów na wykładach i ćwiczeniach jest obowiązkowa.</w:t>
      </w:r>
    </w:p>
    <w:p w:rsidR="00305A10" w:rsidRPr="00305A10" w:rsidRDefault="00305A10" w:rsidP="00EF39E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sz w:val="20"/>
          <w:szCs w:val="20"/>
          <w:lang w:eastAsia="en-US"/>
        </w:rPr>
      </w:pPr>
      <w:r w:rsidRPr="00305A10">
        <w:rPr>
          <w:rFonts w:eastAsia="Times New Roman"/>
          <w:b/>
          <w:sz w:val="20"/>
          <w:szCs w:val="20"/>
          <w:bdr w:val="none" w:sz="0" w:space="0" w:color="auto" w:frame="1"/>
          <w:shd w:val="clear" w:color="auto" w:fill="FFFFFF"/>
          <w:lang w:eastAsia="en-US"/>
        </w:rPr>
        <w:t>Ć</w:t>
      </w:r>
      <w:r w:rsidR="001A47DB" w:rsidRPr="00305A10">
        <w:rPr>
          <w:rFonts w:eastAsia="Times New Roman"/>
          <w:b/>
          <w:sz w:val="20"/>
          <w:szCs w:val="20"/>
          <w:bdr w:val="none" w:sz="0" w:space="0" w:color="auto" w:frame="1"/>
          <w:shd w:val="clear" w:color="auto" w:fill="FFFFFF"/>
          <w:lang w:eastAsia="en-US"/>
        </w:rPr>
        <w:t>wiczenia</w:t>
      </w:r>
    </w:p>
    <w:p w:rsidR="001A47DB" w:rsidRPr="00305A10" w:rsidRDefault="001A47DB" w:rsidP="00305A10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305A10">
        <w:rPr>
          <w:bCs/>
          <w:sz w:val="20"/>
          <w:szCs w:val="20"/>
          <w:lang w:eastAsia="en-US"/>
        </w:rPr>
        <w:t>W</w:t>
      </w:r>
      <w:r w:rsidRPr="00305A10">
        <w:rPr>
          <w:sz w:val="20"/>
          <w:szCs w:val="20"/>
          <w:lang w:eastAsia="en-US"/>
        </w:rPr>
        <w:t xml:space="preserve"> ciągu semestru każdy student może uzyskać maksymalnie </w:t>
      </w:r>
      <w:r w:rsidRPr="00305A10">
        <w:rPr>
          <w:b/>
          <w:sz w:val="20"/>
          <w:szCs w:val="20"/>
          <w:lang w:eastAsia="en-US"/>
        </w:rPr>
        <w:t>16 punktów</w:t>
      </w:r>
      <w:r w:rsidRPr="00305A10">
        <w:rPr>
          <w:sz w:val="20"/>
          <w:szCs w:val="20"/>
          <w:lang w:eastAsia="en-US"/>
        </w:rPr>
        <w:t xml:space="preserve">, w tym: </w:t>
      </w:r>
    </w:p>
    <w:p w:rsidR="001A47DB" w:rsidRPr="001A47DB" w:rsidRDefault="001A47DB" w:rsidP="001A47DB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b/>
          <w:sz w:val="20"/>
          <w:szCs w:val="20"/>
          <w:lang w:eastAsia="en-US"/>
        </w:rPr>
      </w:pPr>
      <w:proofErr w:type="gramStart"/>
      <w:r w:rsidRPr="001A47DB">
        <w:rPr>
          <w:b/>
          <w:sz w:val="20"/>
          <w:szCs w:val="20"/>
          <w:lang w:eastAsia="en-US"/>
        </w:rPr>
        <w:t>punkty</w:t>
      </w:r>
      <w:proofErr w:type="gramEnd"/>
      <w:r w:rsidRPr="001A47DB">
        <w:rPr>
          <w:b/>
          <w:sz w:val="20"/>
          <w:szCs w:val="20"/>
          <w:lang w:eastAsia="en-US"/>
        </w:rPr>
        <w:t xml:space="preserve"> z testów cząstkowych (maksymalnie 10 punktów z 2 testów ćwiczeniowych) 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 xml:space="preserve">(każdy test zawiera 20 pytań jednokrotnego wyboru) wg skali: 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0-6 prawidłowych odpowiedzi – „-</w:t>
      </w:r>
      <w:smartTag w:uri="urn:schemas-microsoft-com:office:smarttags" w:element="metricconverter">
        <w:smartTagPr>
          <w:attr w:name="ProductID" w:val="2”"/>
        </w:smartTagPr>
        <w:r w:rsidRPr="001A47DB">
          <w:rPr>
            <w:sz w:val="20"/>
            <w:szCs w:val="20"/>
            <w:lang w:eastAsia="en-US"/>
          </w:rPr>
          <w:t>2”</w:t>
        </w:r>
      </w:smartTag>
      <w:r w:rsidRPr="001A47DB">
        <w:rPr>
          <w:sz w:val="20"/>
          <w:szCs w:val="20"/>
          <w:lang w:eastAsia="en-US"/>
        </w:rPr>
        <w:t xml:space="preserve"> (minus dwa) punkty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7 prawidłowych odpowiedzi – 0 punktów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8 prawidłowych odpowiedzi - 1 punkt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9 prawidłowych odpowiedzi – 2 punkty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10-11 prawidłowych odpowiedzi – 3 punkty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12-13 prawidłowych odpowiedzi – 3,5 punktu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14-15 prawidłowych odpowiedzi – 4 punkty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16-17 prawidłowych odpowiedzi – 4,5 punktu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18-20 prawidłowych odpowiedzi – 5 punktów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Uwaga: Nieusprawiedliwiona nieobecność podczas testu jest równoznaczna z oceną -2. (minus dwa).</w:t>
      </w:r>
    </w:p>
    <w:p w:rsidR="001A47DB" w:rsidRPr="001A47DB" w:rsidRDefault="001A47DB" w:rsidP="001A47DB">
      <w:pPr>
        <w:numPr>
          <w:ilvl w:val="0"/>
          <w:numId w:val="30"/>
        </w:numPr>
        <w:spacing w:after="0" w:line="240" w:lineRule="auto"/>
        <w:ind w:left="714" w:hanging="357"/>
        <w:rPr>
          <w:b/>
          <w:sz w:val="20"/>
          <w:szCs w:val="20"/>
          <w:lang w:eastAsia="en-US"/>
        </w:rPr>
      </w:pPr>
      <w:r w:rsidRPr="001A47DB">
        <w:rPr>
          <w:b/>
          <w:sz w:val="20"/>
          <w:szCs w:val="20"/>
          <w:lang w:eastAsia="en-US"/>
        </w:rPr>
        <w:t>punkty z odpowiedzi ustnej(</w:t>
      </w:r>
      <w:proofErr w:type="spellStart"/>
      <w:r w:rsidRPr="001A47DB">
        <w:rPr>
          <w:b/>
          <w:sz w:val="20"/>
          <w:szCs w:val="20"/>
          <w:lang w:eastAsia="en-US"/>
        </w:rPr>
        <w:t>ych</w:t>
      </w:r>
      <w:proofErr w:type="spellEnd"/>
      <w:r w:rsidRPr="001A47DB">
        <w:rPr>
          <w:b/>
          <w:sz w:val="20"/>
          <w:szCs w:val="20"/>
          <w:lang w:eastAsia="en-US"/>
        </w:rPr>
        <w:t>) lub pisemnej(</w:t>
      </w:r>
      <w:proofErr w:type="spellStart"/>
      <w:r w:rsidRPr="001A47DB">
        <w:rPr>
          <w:b/>
          <w:sz w:val="20"/>
          <w:szCs w:val="20"/>
          <w:lang w:eastAsia="en-US"/>
        </w:rPr>
        <w:t>ych</w:t>
      </w:r>
      <w:proofErr w:type="spellEnd"/>
      <w:r w:rsidRPr="001A47DB">
        <w:rPr>
          <w:b/>
          <w:sz w:val="20"/>
          <w:szCs w:val="20"/>
          <w:lang w:eastAsia="en-US"/>
        </w:rPr>
        <w:t>) (maksymalnie 4 punkty – średnia z uzyskanych odpowiedzi)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 xml:space="preserve">Na dane ćwiczenie </w:t>
      </w:r>
      <w:r w:rsidRPr="001A47DB">
        <w:rPr>
          <w:sz w:val="20"/>
          <w:szCs w:val="20"/>
          <w:u w:val="single"/>
          <w:lang w:eastAsia="en-US"/>
        </w:rPr>
        <w:t xml:space="preserve">obowiązuje materiał z bieżącego i poprzedniego ćwiczenia. </w:t>
      </w:r>
      <w:r w:rsidRPr="001A47DB">
        <w:rPr>
          <w:sz w:val="20"/>
          <w:szCs w:val="20"/>
          <w:lang w:eastAsia="en-US"/>
        </w:rPr>
        <w:t xml:space="preserve">Materiał może być sprawdzany w formie ustnej i/lub pisemnej (o formie decyduje prowadzący). Student może odpowiadać ustnie lub pisemnie co najmniej 2 razy(lub więcej). Skala ocen odpowiedzi ustnej/pisemnej jest następująca: 0, 1, 1,5, 2, 2,5, 3, 3,5 i 4 punkty. Końcowa ilość punktów z odpowiedzi będzie średnią punktów uzyskanych z wszystkich odpowiedzi. 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 xml:space="preserve">Student może jeden raz w ciągu semestru być nieprzygotowany do zajęć - musi o tym poinformować prowadzącego </w:t>
      </w:r>
      <w:r w:rsidRPr="001A47DB">
        <w:rPr>
          <w:sz w:val="20"/>
          <w:szCs w:val="20"/>
          <w:u w:val="single"/>
          <w:lang w:eastAsia="en-US"/>
        </w:rPr>
        <w:t>przed rozpoczęciem ćwiczeń</w:t>
      </w:r>
      <w:r w:rsidRPr="001A47DB">
        <w:rPr>
          <w:sz w:val="20"/>
          <w:szCs w:val="20"/>
          <w:lang w:eastAsia="en-US"/>
        </w:rPr>
        <w:t>. W przypadku, gdy student będzie przygotowany na wszystkie ćwiczenia uzyskuje dodatkowo na koniec semestru 0,5 pkt.</w:t>
      </w:r>
    </w:p>
    <w:p w:rsidR="001A47DB" w:rsidRPr="001A47DB" w:rsidRDefault="001A47DB" w:rsidP="001A47DB">
      <w:pPr>
        <w:numPr>
          <w:ilvl w:val="0"/>
          <w:numId w:val="30"/>
        </w:numPr>
        <w:spacing w:after="0" w:line="240" w:lineRule="auto"/>
        <w:jc w:val="both"/>
        <w:rPr>
          <w:b/>
          <w:sz w:val="20"/>
          <w:szCs w:val="20"/>
          <w:lang w:eastAsia="en-US"/>
        </w:rPr>
      </w:pPr>
      <w:r w:rsidRPr="001A47DB">
        <w:rPr>
          <w:b/>
          <w:sz w:val="20"/>
          <w:szCs w:val="20"/>
          <w:lang w:eastAsia="en-US"/>
        </w:rPr>
        <w:t>punkty za aktywność (kompetencję i postawę) podczas zajęć (maksymalnie 1 punkt)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Aktywność studenta podczas całości zajęć (np. udział w dyskusjach, błyskotliwe odpowiedzi, ogólna postawa) będzie oceniana wg skali: 0, 0,5 i 1 pkt.</w:t>
      </w:r>
    </w:p>
    <w:p w:rsidR="001A47DB" w:rsidRPr="001A47DB" w:rsidRDefault="001A47DB" w:rsidP="001A47DB">
      <w:pPr>
        <w:numPr>
          <w:ilvl w:val="0"/>
          <w:numId w:val="30"/>
        </w:numPr>
        <w:spacing w:after="0" w:line="240" w:lineRule="auto"/>
        <w:jc w:val="both"/>
        <w:rPr>
          <w:b/>
          <w:bCs/>
          <w:sz w:val="20"/>
          <w:szCs w:val="20"/>
          <w:lang w:eastAsia="en-US"/>
        </w:rPr>
      </w:pPr>
      <w:r w:rsidRPr="001A47DB">
        <w:rPr>
          <w:b/>
          <w:bCs/>
          <w:sz w:val="20"/>
          <w:szCs w:val="20"/>
          <w:lang w:eastAsia="en-US"/>
        </w:rPr>
        <w:t xml:space="preserve">punkty za przygotowanie prezentacji - 0,5 pkt. </w:t>
      </w:r>
    </w:p>
    <w:p w:rsidR="001A47DB" w:rsidRPr="001A47DB" w:rsidRDefault="001A47DB" w:rsidP="002D117F">
      <w:pPr>
        <w:spacing w:after="0" w:line="240" w:lineRule="auto"/>
        <w:ind w:left="709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Student może przygotować prezentację (mini-wykład trwający 10-12 min.) z tematu uzgodnionego z prowadzącym zajęcia. Prezentację należy przygotować w programie PowerPoint (format. PTT) i przesłać najpóźniej 3 dni przed planowanym terminem jej wygłoszenia na zajęciach. Plik powinien zawierać w tytule: tytuł prezentacji, nazwisko i imię, numer grupy i nazwisko prowadzącego ćwiczenia. Za przygotowanie prezentacji student może otrzymać 0,5 pkt. w ramach punktacji za aktywność. Na jednych ćwiczeniach mogą być przedstawiane maksymalnie 2 prezentacje.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Warunkiem</w:t>
      </w:r>
      <w:r w:rsidRPr="001A47DB">
        <w:rPr>
          <w:b/>
          <w:sz w:val="20"/>
          <w:szCs w:val="20"/>
          <w:lang w:eastAsia="en-US"/>
        </w:rPr>
        <w:t xml:space="preserve"> </w:t>
      </w:r>
      <w:r w:rsidRPr="001A47DB">
        <w:rPr>
          <w:sz w:val="20"/>
          <w:szCs w:val="20"/>
          <w:lang w:eastAsia="en-US"/>
        </w:rPr>
        <w:t xml:space="preserve">zaliczenia ćwiczeń jest uzyskanie </w:t>
      </w:r>
      <w:r w:rsidRPr="001A47DB">
        <w:rPr>
          <w:b/>
          <w:sz w:val="20"/>
          <w:szCs w:val="20"/>
          <w:lang w:eastAsia="en-US"/>
        </w:rPr>
        <w:t xml:space="preserve">minimum 8 punktów </w:t>
      </w:r>
      <w:r w:rsidRPr="001A47DB">
        <w:rPr>
          <w:sz w:val="20"/>
          <w:szCs w:val="20"/>
          <w:lang w:eastAsia="en-US"/>
        </w:rPr>
        <w:t xml:space="preserve">spośród </w:t>
      </w:r>
      <w:r w:rsidRPr="001A47DB">
        <w:rPr>
          <w:b/>
          <w:sz w:val="20"/>
          <w:szCs w:val="20"/>
          <w:lang w:eastAsia="en-US"/>
        </w:rPr>
        <w:t>16 możliwych (maksimum)</w:t>
      </w:r>
      <w:r w:rsidRPr="001A47DB">
        <w:rPr>
          <w:sz w:val="20"/>
          <w:szCs w:val="20"/>
          <w:lang w:eastAsia="en-US"/>
        </w:rPr>
        <w:t xml:space="preserve">. Studenci, którzy nie uzyskają wymaganych 8 punktów </w:t>
      </w:r>
      <w:r w:rsidRPr="001A47DB">
        <w:rPr>
          <w:sz w:val="20"/>
          <w:szCs w:val="20"/>
          <w:u w:val="single"/>
          <w:lang w:eastAsia="en-US"/>
        </w:rPr>
        <w:t xml:space="preserve">nie mogą </w:t>
      </w:r>
      <w:r w:rsidRPr="001A47DB">
        <w:rPr>
          <w:sz w:val="20"/>
          <w:szCs w:val="20"/>
          <w:lang w:eastAsia="en-US"/>
        </w:rPr>
        <w:t>przystąpić do egzaminu końcowego. Ci studenci muszą zaliczyć całość materiału w formie testu, z którego muszą uzyskać co najmniej 60% poprawnych odpowiedzi. Termin testu będzie wyznaczo</w:t>
      </w:r>
      <w:r>
        <w:rPr>
          <w:sz w:val="20"/>
          <w:szCs w:val="20"/>
          <w:lang w:eastAsia="en-US"/>
        </w:rPr>
        <w:t>ny w porozumieniu ze studentami.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Ocena końcowa z ćwiczeń będzie wystawiana wg skali: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8-9,5 pkt. – dostateczny (3,0)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10-10,5 pkt. – dość dobry (3,5)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11-12 pkt. – dobry (4,0)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12,5-13,5 pkt. – ponad dobry (4,5)</w:t>
      </w:r>
    </w:p>
    <w:p w:rsidR="001A47DB" w:rsidRPr="001A47DB" w:rsidRDefault="001A47DB" w:rsidP="001A47DB">
      <w:pPr>
        <w:spacing w:after="0" w:line="240" w:lineRule="auto"/>
        <w:jc w:val="both"/>
        <w:rPr>
          <w:sz w:val="20"/>
          <w:szCs w:val="20"/>
          <w:lang w:eastAsia="en-US"/>
        </w:rPr>
      </w:pPr>
      <w:r w:rsidRPr="001A47DB">
        <w:rPr>
          <w:sz w:val="20"/>
          <w:szCs w:val="20"/>
          <w:lang w:eastAsia="en-US"/>
        </w:rPr>
        <w:t>14-16 pkt. – bardzo dobry (5)</w:t>
      </w:r>
    </w:p>
    <w:p w:rsidR="001A47DB" w:rsidRPr="001A47DB" w:rsidRDefault="001A47DB" w:rsidP="001A47DB">
      <w:pPr>
        <w:spacing w:after="0" w:line="240" w:lineRule="auto"/>
        <w:jc w:val="both"/>
        <w:rPr>
          <w:b/>
          <w:bCs/>
          <w:sz w:val="20"/>
          <w:szCs w:val="20"/>
          <w:lang w:eastAsia="en-US"/>
        </w:rPr>
      </w:pPr>
    </w:p>
    <w:p w:rsidR="001A47DB" w:rsidRPr="001A47DB" w:rsidRDefault="001A47DB" w:rsidP="00305A10">
      <w:pPr>
        <w:numPr>
          <w:ilvl w:val="0"/>
          <w:numId w:val="29"/>
        </w:numPr>
        <w:spacing w:after="0" w:line="240" w:lineRule="auto"/>
        <w:ind w:left="284" w:hanging="284"/>
        <w:rPr>
          <w:b/>
          <w:bCs/>
          <w:sz w:val="20"/>
          <w:szCs w:val="20"/>
          <w:lang w:eastAsia="en-US"/>
        </w:rPr>
      </w:pPr>
      <w:r w:rsidRPr="001A47DB">
        <w:rPr>
          <w:b/>
          <w:bCs/>
          <w:sz w:val="20"/>
          <w:szCs w:val="20"/>
          <w:lang w:eastAsia="en-US"/>
        </w:rPr>
        <w:t>Egzamin końcowy</w:t>
      </w:r>
    </w:p>
    <w:p w:rsidR="001A47DB" w:rsidRPr="001A47DB" w:rsidRDefault="001A47DB" w:rsidP="00305A10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>Egzamin końcowy odbędzie się w sesji egzaminacyjnej. Będzie miał charakter testu jednokrotnego wyboru (60 pytań). Kryterium zaliczenia przedmiotu jest uzyskanie pozytywnej oceny (3,0) z egzaminu końcowego.</w:t>
      </w:r>
    </w:p>
    <w:p w:rsidR="001A47DB" w:rsidRPr="001A47DB" w:rsidRDefault="001A47DB" w:rsidP="001A47DB">
      <w:pPr>
        <w:spacing w:after="0" w:line="240" w:lineRule="auto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 xml:space="preserve">Czas trwania egzaminu (zaliczenia końcowego):  60 min </w:t>
      </w:r>
    </w:p>
    <w:p w:rsidR="001A47DB" w:rsidRPr="001A47DB" w:rsidRDefault="001A47DB" w:rsidP="001A47DB">
      <w:pPr>
        <w:spacing w:after="0" w:line="240" w:lineRule="auto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 xml:space="preserve">Za prawidłową odpowiedź student otrzymuje 1 punkt, za błędną 0 punktów </w:t>
      </w:r>
    </w:p>
    <w:p w:rsidR="001A47DB" w:rsidRPr="001A47DB" w:rsidRDefault="001A47DB" w:rsidP="001A47DB">
      <w:pPr>
        <w:spacing w:after="0" w:line="240" w:lineRule="auto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 xml:space="preserve">Kryteria oceny: </w:t>
      </w:r>
      <w:r w:rsidRPr="001A47DB">
        <w:rPr>
          <w:bCs/>
          <w:sz w:val="20"/>
          <w:szCs w:val="20"/>
          <w:lang w:eastAsia="en-US"/>
        </w:rPr>
        <w:br/>
        <w:t xml:space="preserve">5,0 – student wykazuje znajomość  treści kształcenia na poziomie 93-100% </w:t>
      </w:r>
      <w:r w:rsidRPr="001A47DB">
        <w:rPr>
          <w:bCs/>
          <w:sz w:val="20"/>
          <w:szCs w:val="20"/>
          <w:lang w:eastAsia="en-US"/>
        </w:rPr>
        <w:br/>
        <w:t xml:space="preserve">4,5 – student wykazuje znajomość  treści kształcenia na poziomie 85-92% </w:t>
      </w:r>
      <w:r w:rsidRPr="001A47DB">
        <w:rPr>
          <w:bCs/>
          <w:sz w:val="20"/>
          <w:szCs w:val="20"/>
          <w:lang w:eastAsia="en-US"/>
        </w:rPr>
        <w:br/>
        <w:t xml:space="preserve">4,0 – student wykazuje znajomość  treści kształcenia na poziomie 77-84% </w:t>
      </w:r>
      <w:r w:rsidRPr="001A47DB">
        <w:rPr>
          <w:bCs/>
          <w:sz w:val="20"/>
          <w:szCs w:val="20"/>
          <w:lang w:eastAsia="en-US"/>
        </w:rPr>
        <w:br/>
        <w:t xml:space="preserve">3,5 – student wykazuje znajomość  treści kształcenia na poziomie 69-76% </w:t>
      </w:r>
    </w:p>
    <w:p w:rsidR="001A47DB" w:rsidRPr="001A47DB" w:rsidRDefault="001A47DB" w:rsidP="001A47DB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>3.0 – student  wykazuje znajomość treści kształcenia na poziomie 60%-68%</w:t>
      </w:r>
    </w:p>
    <w:p w:rsidR="001A47DB" w:rsidRPr="001A47DB" w:rsidRDefault="001A47DB" w:rsidP="001A47DB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:rsidR="001A47DB" w:rsidRPr="001A47DB" w:rsidRDefault="001A47DB" w:rsidP="001A47DB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 xml:space="preserve">Nieusprawiedliwiona nieobecność na egzaminie skutkuje otrzymaniem oceny niedostatecznej (2). Student nieobecny podczas egzaminu z przyczyn usprawiedliwionych będzie miał możliwość przystąpienia do egzaminu w sesji poprawkowej i będzie on traktowany jako pierwszy termin. </w:t>
      </w:r>
    </w:p>
    <w:p w:rsidR="001A47DB" w:rsidRDefault="001A47DB" w:rsidP="001A47DB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>Egzamin poprawkowy odbędzie się w formie testu sesji poprawkowej.</w:t>
      </w:r>
    </w:p>
    <w:p w:rsidR="001A47DB" w:rsidRPr="001A47DB" w:rsidRDefault="001A47DB" w:rsidP="001A47DB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:rsidR="001A47DB" w:rsidRPr="001A47DB" w:rsidRDefault="001A47DB" w:rsidP="00305A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iCs/>
          <w:sz w:val="20"/>
          <w:szCs w:val="20"/>
          <w:lang w:eastAsia="en-US"/>
        </w:rPr>
      </w:pPr>
      <w:r w:rsidRPr="001A47DB">
        <w:rPr>
          <w:b/>
          <w:iCs/>
          <w:sz w:val="20"/>
          <w:szCs w:val="20"/>
          <w:lang w:eastAsia="en-US"/>
        </w:rPr>
        <w:t>Zaliczenie przedmiotu i ocena końcowa</w:t>
      </w:r>
    </w:p>
    <w:p w:rsidR="001A47DB" w:rsidRPr="001A47DB" w:rsidRDefault="001A47DB" w:rsidP="00305A10">
      <w:pPr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>Końcowa ocena z przedmiotu będzie wypadkową średniej oceny uzyskanej z</w:t>
      </w:r>
      <w:r w:rsidR="00E73B5A">
        <w:rPr>
          <w:bCs/>
          <w:sz w:val="20"/>
          <w:szCs w:val="20"/>
          <w:lang w:eastAsia="en-US"/>
        </w:rPr>
        <w:t xml:space="preserve"> ćwiczeń</w:t>
      </w:r>
      <w:r w:rsidRPr="001A47DB">
        <w:rPr>
          <w:bCs/>
          <w:sz w:val="20"/>
          <w:szCs w:val="20"/>
          <w:lang w:eastAsia="en-US"/>
        </w:rPr>
        <w:t xml:space="preserve"> i oceny z eg</w:t>
      </w:r>
      <w:r w:rsidR="00E73B5A">
        <w:rPr>
          <w:bCs/>
          <w:sz w:val="20"/>
          <w:szCs w:val="20"/>
          <w:lang w:eastAsia="en-US"/>
        </w:rPr>
        <w:t xml:space="preserve">zaminu końcowego. Ocena z ćwiczeń </w:t>
      </w:r>
      <w:r w:rsidRPr="001A47DB">
        <w:rPr>
          <w:bCs/>
          <w:sz w:val="20"/>
          <w:szCs w:val="20"/>
          <w:lang w:eastAsia="en-US"/>
        </w:rPr>
        <w:t xml:space="preserve">będzie stanowiła 50%, a ocena z egzaminu końcowego 50% końcowej oceny z przedmiotu. </w:t>
      </w:r>
    </w:p>
    <w:p w:rsidR="001A47DB" w:rsidRPr="001A47DB" w:rsidRDefault="001A47DB" w:rsidP="001A47DB">
      <w:pPr>
        <w:spacing w:after="0" w:line="240" w:lineRule="auto"/>
        <w:ind w:firstLine="709"/>
        <w:jc w:val="both"/>
        <w:rPr>
          <w:bCs/>
          <w:sz w:val="20"/>
          <w:szCs w:val="20"/>
          <w:lang w:eastAsia="en-US"/>
        </w:rPr>
      </w:pPr>
      <w:r w:rsidRPr="001A47DB">
        <w:rPr>
          <w:bCs/>
          <w:sz w:val="20"/>
          <w:szCs w:val="20"/>
          <w:lang w:eastAsia="en-US"/>
        </w:rPr>
        <w:t xml:space="preserve">Student, który nie zaliczy </w:t>
      </w:r>
      <w:r w:rsidR="00E73B5A">
        <w:rPr>
          <w:bCs/>
          <w:sz w:val="20"/>
          <w:szCs w:val="20"/>
          <w:lang w:eastAsia="en-US"/>
        </w:rPr>
        <w:t>ćwiczeń</w:t>
      </w:r>
      <w:r w:rsidRPr="001A47DB">
        <w:rPr>
          <w:bCs/>
          <w:sz w:val="20"/>
          <w:szCs w:val="20"/>
          <w:lang w:eastAsia="en-US"/>
        </w:rPr>
        <w:t xml:space="preserve"> i/lub nie otrzyma co najmniej dostatecznej oceny z egzaminu końcowego nie uzyska zaliczenia przedmiotu (ocena niedostateczna).</w:t>
      </w:r>
    </w:p>
    <w:p w:rsidR="001A47DB" w:rsidRDefault="001A47DB" w:rsidP="00E44C17">
      <w:pPr>
        <w:pStyle w:val="Podpunkty"/>
        <w:spacing w:after="80"/>
        <w:ind w:left="357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1A47DB">
        <w:t>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367CB2" w:rsidRPr="00367CB2" w:rsidRDefault="00367CB2" w:rsidP="00367CB2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367CB2">
        <w:rPr>
          <w:b/>
        </w:rPr>
        <w:t xml:space="preserve">Podstawowa </w:t>
      </w:r>
    </w:p>
    <w:p w:rsidR="00367CB2" w:rsidRPr="00367CB2" w:rsidRDefault="00367CB2" w:rsidP="00367CB2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367CB2">
        <w:rPr>
          <w:rFonts w:eastAsia="Times New Roman"/>
          <w:sz w:val="20"/>
          <w:szCs w:val="20"/>
        </w:rPr>
        <w:t xml:space="preserve">Buczko W., </w:t>
      </w:r>
      <w:proofErr w:type="spellStart"/>
      <w:r w:rsidRPr="00367CB2">
        <w:rPr>
          <w:rFonts w:eastAsia="Times New Roman"/>
          <w:sz w:val="20"/>
          <w:szCs w:val="20"/>
        </w:rPr>
        <w:t>Danysz</w:t>
      </w:r>
      <w:proofErr w:type="spellEnd"/>
      <w:r w:rsidRPr="00367CB2">
        <w:rPr>
          <w:rFonts w:eastAsia="Times New Roman"/>
          <w:sz w:val="20"/>
          <w:szCs w:val="20"/>
        </w:rPr>
        <w:t xml:space="preserve"> A., Kompendium farmakologii i farmakoterapii. Farmakologia </w:t>
      </w:r>
      <w:proofErr w:type="spellStart"/>
      <w:r w:rsidRPr="00367CB2">
        <w:rPr>
          <w:rFonts w:eastAsia="Times New Roman"/>
          <w:sz w:val="20"/>
          <w:szCs w:val="20"/>
        </w:rPr>
        <w:t>Danysza</w:t>
      </w:r>
      <w:proofErr w:type="spellEnd"/>
      <w:r w:rsidRPr="00367CB2">
        <w:rPr>
          <w:rFonts w:eastAsia="Times New Roman"/>
          <w:sz w:val="20"/>
          <w:szCs w:val="20"/>
        </w:rPr>
        <w:t xml:space="preserve">, </w:t>
      </w:r>
      <w:proofErr w:type="spellStart"/>
      <w:r w:rsidRPr="00367CB2">
        <w:rPr>
          <w:rFonts w:eastAsia="Times New Roman"/>
          <w:sz w:val="20"/>
          <w:szCs w:val="20"/>
        </w:rPr>
        <w:t>Edra</w:t>
      </w:r>
      <w:proofErr w:type="spellEnd"/>
      <w:r w:rsidRPr="00367CB2">
        <w:rPr>
          <w:rFonts w:eastAsia="Times New Roman"/>
          <w:sz w:val="20"/>
          <w:szCs w:val="20"/>
        </w:rPr>
        <w:t xml:space="preserve"> Urban &amp; Partner, Wrocław, 2016</w:t>
      </w:r>
      <w:r w:rsidR="00D07112">
        <w:rPr>
          <w:rFonts w:eastAsia="Times New Roman"/>
          <w:sz w:val="20"/>
          <w:szCs w:val="20"/>
        </w:rPr>
        <w:t>.</w:t>
      </w:r>
    </w:p>
    <w:p w:rsidR="00367CB2" w:rsidRPr="00367CB2" w:rsidRDefault="00367CB2" w:rsidP="00367CB2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367CB2">
        <w:rPr>
          <w:rFonts w:eastAsia="Times New Roman"/>
          <w:sz w:val="20"/>
          <w:szCs w:val="20"/>
        </w:rPr>
        <w:t xml:space="preserve">Dominiak I., Gaworska-Krzemińska A., </w:t>
      </w:r>
      <w:proofErr w:type="spellStart"/>
      <w:r w:rsidRPr="00367CB2">
        <w:rPr>
          <w:rFonts w:eastAsia="Times New Roman"/>
          <w:sz w:val="20"/>
          <w:szCs w:val="20"/>
        </w:rPr>
        <w:t>Kilańska</w:t>
      </w:r>
      <w:proofErr w:type="spellEnd"/>
      <w:r w:rsidRPr="00367CB2">
        <w:rPr>
          <w:rFonts w:eastAsia="Times New Roman"/>
          <w:sz w:val="20"/>
          <w:szCs w:val="20"/>
        </w:rPr>
        <w:t xml:space="preserve"> D., Ordynowanie leków i wypisywanie recept - przewodnik dla pielęgniarek i położnych, 2021</w:t>
      </w:r>
      <w:r w:rsidR="00D07112">
        <w:rPr>
          <w:rFonts w:eastAsia="Times New Roman"/>
          <w:sz w:val="20"/>
          <w:szCs w:val="20"/>
        </w:rPr>
        <w:t>.</w:t>
      </w:r>
    </w:p>
    <w:p w:rsidR="00367CB2" w:rsidRPr="00367CB2" w:rsidRDefault="00367CB2" w:rsidP="00367CB2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proofErr w:type="spellStart"/>
      <w:r w:rsidRPr="00367CB2">
        <w:rPr>
          <w:rFonts w:eastAsia="Times New Roman"/>
          <w:sz w:val="20"/>
          <w:szCs w:val="20"/>
        </w:rPr>
        <w:t>Mutschler</w:t>
      </w:r>
      <w:proofErr w:type="spellEnd"/>
      <w:r w:rsidRPr="00367CB2">
        <w:rPr>
          <w:rFonts w:eastAsia="Times New Roman"/>
          <w:sz w:val="20"/>
          <w:szCs w:val="20"/>
        </w:rPr>
        <w:t xml:space="preserve"> E., </w:t>
      </w:r>
      <w:proofErr w:type="spellStart"/>
      <w:r w:rsidRPr="00367CB2">
        <w:rPr>
          <w:rFonts w:eastAsia="Times New Roman"/>
          <w:sz w:val="20"/>
          <w:szCs w:val="20"/>
        </w:rPr>
        <w:t>Geisslinger</w:t>
      </w:r>
      <w:proofErr w:type="spellEnd"/>
      <w:r w:rsidRPr="00367CB2">
        <w:rPr>
          <w:rFonts w:eastAsia="Times New Roman"/>
          <w:sz w:val="20"/>
          <w:szCs w:val="20"/>
        </w:rPr>
        <w:t xml:space="preserve"> G., Menzel S., </w:t>
      </w:r>
      <w:proofErr w:type="spellStart"/>
      <w:r w:rsidRPr="00367CB2">
        <w:rPr>
          <w:rFonts w:eastAsia="Times New Roman"/>
          <w:sz w:val="20"/>
          <w:szCs w:val="20"/>
        </w:rPr>
        <w:t>Ruth</w:t>
      </w:r>
      <w:proofErr w:type="spellEnd"/>
      <w:r w:rsidRPr="00367CB2">
        <w:rPr>
          <w:rFonts w:eastAsia="Times New Roman"/>
          <w:sz w:val="20"/>
          <w:szCs w:val="20"/>
        </w:rPr>
        <w:t xml:space="preserve"> P., </w:t>
      </w:r>
      <w:proofErr w:type="spellStart"/>
      <w:r w:rsidRPr="00367CB2">
        <w:rPr>
          <w:rFonts w:eastAsia="Times New Roman"/>
          <w:sz w:val="20"/>
          <w:szCs w:val="20"/>
        </w:rPr>
        <w:t>Schmidtko</w:t>
      </w:r>
      <w:proofErr w:type="spellEnd"/>
      <w:r w:rsidRPr="00367CB2">
        <w:rPr>
          <w:rFonts w:eastAsia="Times New Roman"/>
          <w:sz w:val="20"/>
          <w:szCs w:val="20"/>
        </w:rPr>
        <w:t xml:space="preserve"> A., Farmakologia z elementami toksykologii. Farmakologia ogólna i kliniczna, toksykologia, Tom 1 i 2, </w:t>
      </w:r>
      <w:proofErr w:type="spellStart"/>
      <w:r w:rsidRPr="00367CB2">
        <w:rPr>
          <w:rFonts w:eastAsia="Times New Roman"/>
          <w:sz w:val="20"/>
          <w:szCs w:val="20"/>
        </w:rPr>
        <w:t>MedPharm</w:t>
      </w:r>
      <w:proofErr w:type="spellEnd"/>
      <w:r w:rsidRPr="00367CB2">
        <w:rPr>
          <w:rFonts w:eastAsia="Times New Roman"/>
          <w:sz w:val="20"/>
          <w:szCs w:val="20"/>
        </w:rPr>
        <w:t>, Wrocław, 2020.</w:t>
      </w:r>
    </w:p>
    <w:p w:rsidR="00367CB2" w:rsidRPr="00367CB2" w:rsidRDefault="00367CB2" w:rsidP="00367CB2">
      <w:pPr>
        <w:pStyle w:val="Akapitzlist"/>
        <w:spacing w:after="0" w:line="360" w:lineRule="auto"/>
        <w:jc w:val="both"/>
        <w:rPr>
          <w:rFonts w:eastAsia="Times New Roman"/>
          <w:sz w:val="20"/>
          <w:szCs w:val="20"/>
        </w:rPr>
      </w:pPr>
    </w:p>
    <w:p w:rsidR="00367CB2" w:rsidRPr="00367CB2" w:rsidRDefault="00367CB2" w:rsidP="001B6ADF">
      <w:pPr>
        <w:pStyle w:val="Akapitzlist"/>
        <w:spacing w:after="0" w:line="360" w:lineRule="auto"/>
        <w:ind w:left="0"/>
        <w:jc w:val="both"/>
        <w:rPr>
          <w:b/>
          <w:sz w:val="20"/>
          <w:szCs w:val="20"/>
        </w:rPr>
      </w:pPr>
      <w:r w:rsidRPr="00367CB2">
        <w:rPr>
          <w:b/>
          <w:sz w:val="20"/>
          <w:szCs w:val="20"/>
        </w:rPr>
        <w:t>Uzupełniająca</w:t>
      </w:r>
    </w:p>
    <w:p w:rsidR="00367CB2" w:rsidRPr="00367CB2" w:rsidRDefault="00367CB2" w:rsidP="00367CB2">
      <w:pPr>
        <w:pStyle w:val="Akapitzlist"/>
        <w:numPr>
          <w:ilvl w:val="0"/>
          <w:numId w:val="28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proofErr w:type="spellStart"/>
      <w:r w:rsidRPr="00367CB2">
        <w:rPr>
          <w:rFonts w:eastAsia="Times New Roman"/>
          <w:sz w:val="20"/>
          <w:szCs w:val="20"/>
        </w:rPr>
        <w:t>Berezińska</w:t>
      </w:r>
      <w:proofErr w:type="spellEnd"/>
      <w:r w:rsidRPr="00367CB2">
        <w:rPr>
          <w:rFonts w:eastAsia="Times New Roman"/>
          <w:sz w:val="20"/>
          <w:szCs w:val="20"/>
        </w:rPr>
        <w:t xml:space="preserve"> M.,  Wiktorowska-Owczarek A., Farmakologia w zadaniach. Receptura i postacie leków, PZWL, 2018.</w:t>
      </w:r>
    </w:p>
    <w:p w:rsidR="00367CB2" w:rsidRPr="00367CB2" w:rsidRDefault="00367CB2" w:rsidP="00367CB2">
      <w:pPr>
        <w:pStyle w:val="Akapitzlist"/>
        <w:numPr>
          <w:ilvl w:val="0"/>
          <w:numId w:val="28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367CB2">
        <w:rPr>
          <w:rFonts w:eastAsia="Times New Roman"/>
          <w:sz w:val="20"/>
          <w:szCs w:val="20"/>
        </w:rPr>
        <w:t>Rajtar-</w:t>
      </w:r>
      <w:proofErr w:type="spellStart"/>
      <w:r w:rsidRPr="00367CB2">
        <w:rPr>
          <w:rFonts w:eastAsia="Times New Roman"/>
          <w:sz w:val="20"/>
          <w:szCs w:val="20"/>
        </w:rPr>
        <w:t>Cynke</w:t>
      </w:r>
      <w:proofErr w:type="spellEnd"/>
      <w:r w:rsidRPr="00367CB2">
        <w:rPr>
          <w:rFonts w:eastAsia="Times New Roman"/>
          <w:sz w:val="20"/>
          <w:szCs w:val="20"/>
        </w:rPr>
        <w:t xml:space="preserve"> G., Farmakologia, PZWL, Lublin, 2015.</w:t>
      </w:r>
    </w:p>
    <w:p w:rsidR="00367CB2" w:rsidRPr="00367CB2" w:rsidRDefault="00367CB2" w:rsidP="00367CB2">
      <w:pPr>
        <w:pStyle w:val="Akapitzlist"/>
        <w:numPr>
          <w:ilvl w:val="0"/>
          <w:numId w:val="28"/>
        </w:numPr>
        <w:spacing w:after="0"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367CB2">
        <w:rPr>
          <w:rFonts w:eastAsia="Times New Roman"/>
          <w:sz w:val="20"/>
          <w:szCs w:val="20"/>
        </w:rPr>
        <w:t xml:space="preserve">Szmid B., Farmakologia dla zawodów pielęgniarskich, </w:t>
      </w:r>
      <w:proofErr w:type="spellStart"/>
      <w:r w:rsidRPr="00367CB2">
        <w:rPr>
          <w:rFonts w:eastAsia="Times New Roman"/>
          <w:sz w:val="20"/>
          <w:szCs w:val="20"/>
        </w:rPr>
        <w:t>MedPharm</w:t>
      </w:r>
      <w:proofErr w:type="spellEnd"/>
      <w:r w:rsidRPr="00367CB2">
        <w:rPr>
          <w:rFonts w:eastAsia="Times New Roman"/>
          <w:sz w:val="20"/>
          <w:szCs w:val="20"/>
        </w:rPr>
        <w:t xml:space="preserve"> Polska 2021</w:t>
      </w:r>
      <w:r w:rsidR="00D07112">
        <w:rPr>
          <w:rFonts w:eastAsia="Times New Roman"/>
          <w:sz w:val="20"/>
          <w:szCs w:val="20"/>
        </w:rPr>
        <w:t>.</w:t>
      </w:r>
    </w:p>
    <w:p w:rsidR="00347DCE" w:rsidRPr="00347DCE" w:rsidRDefault="00347DCE" w:rsidP="00347DCE">
      <w:pPr>
        <w:pStyle w:val="Akapitzlist"/>
        <w:rPr>
          <w:color w:val="000000"/>
          <w:sz w:val="20"/>
        </w:rPr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C1" w:rsidRDefault="00C047C1">
      <w:pPr>
        <w:spacing w:after="0" w:line="240" w:lineRule="auto"/>
      </w:pPr>
      <w:r>
        <w:separator/>
      </w:r>
    </w:p>
  </w:endnote>
  <w:endnote w:type="continuationSeparator" w:id="0">
    <w:p w:rsidR="00C047C1" w:rsidRDefault="00C0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13B2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13B2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C1" w:rsidRDefault="00C047C1">
      <w:pPr>
        <w:spacing w:after="0" w:line="240" w:lineRule="auto"/>
      </w:pPr>
      <w:r>
        <w:separator/>
      </w:r>
    </w:p>
  </w:footnote>
  <w:footnote w:type="continuationSeparator" w:id="0">
    <w:p w:rsidR="00C047C1" w:rsidRDefault="00C0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913"/>
    <w:multiLevelType w:val="hybridMultilevel"/>
    <w:tmpl w:val="913A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071"/>
    <w:multiLevelType w:val="hybridMultilevel"/>
    <w:tmpl w:val="1AF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C4B58"/>
    <w:multiLevelType w:val="hybridMultilevel"/>
    <w:tmpl w:val="68F85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703D0"/>
    <w:multiLevelType w:val="hybridMultilevel"/>
    <w:tmpl w:val="1AF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A07E4"/>
    <w:multiLevelType w:val="hybridMultilevel"/>
    <w:tmpl w:val="FA80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C023D0"/>
    <w:multiLevelType w:val="hybridMultilevel"/>
    <w:tmpl w:val="AB9AB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C241A"/>
    <w:multiLevelType w:val="hybridMultilevel"/>
    <w:tmpl w:val="3FBEB166"/>
    <w:lvl w:ilvl="0" w:tplc="3926B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029D"/>
    <w:multiLevelType w:val="hybridMultilevel"/>
    <w:tmpl w:val="D470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8"/>
  </w:num>
  <w:num w:numId="5">
    <w:abstractNumId w:val="21"/>
  </w:num>
  <w:num w:numId="6">
    <w:abstractNumId w:val="11"/>
  </w:num>
  <w:num w:numId="7">
    <w:abstractNumId w:val="29"/>
  </w:num>
  <w:num w:numId="8">
    <w:abstractNumId w:val="5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27"/>
  </w:num>
  <w:num w:numId="15">
    <w:abstractNumId w:val="28"/>
  </w:num>
  <w:num w:numId="16">
    <w:abstractNumId w:val="25"/>
  </w:num>
  <w:num w:numId="17">
    <w:abstractNumId w:val="7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  <w:num w:numId="22">
    <w:abstractNumId w:val="20"/>
  </w:num>
  <w:num w:numId="23">
    <w:abstractNumId w:val="22"/>
  </w:num>
  <w:num w:numId="24">
    <w:abstractNumId w:val="13"/>
  </w:num>
  <w:num w:numId="25">
    <w:abstractNumId w:val="6"/>
  </w:num>
  <w:num w:numId="26">
    <w:abstractNumId w:val="14"/>
  </w:num>
  <w:num w:numId="27">
    <w:abstractNumId w:val="26"/>
  </w:num>
  <w:num w:numId="28">
    <w:abstractNumId w:val="24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659D4"/>
    <w:rsid w:val="000765B6"/>
    <w:rsid w:val="0007708C"/>
    <w:rsid w:val="00092B32"/>
    <w:rsid w:val="000D4A80"/>
    <w:rsid w:val="0010068D"/>
    <w:rsid w:val="00120393"/>
    <w:rsid w:val="00143DF8"/>
    <w:rsid w:val="00143FAD"/>
    <w:rsid w:val="001A47DB"/>
    <w:rsid w:val="001B6ADF"/>
    <w:rsid w:val="001E4A55"/>
    <w:rsid w:val="001F451C"/>
    <w:rsid w:val="001F4D8C"/>
    <w:rsid w:val="00202887"/>
    <w:rsid w:val="00235A46"/>
    <w:rsid w:val="00247640"/>
    <w:rsid w:val="00270215"/>
    <w:rsid w:val="00282C3F"/>
    <w:rsid w:val="00295CD7"/>
    <w:rsid w:val="002B1196"/>
    <w:rsid w:val="002C227C"/>
    <w:rsid w:val="002D117F"/>
    <w:rsid w:val="002F0134"/>
    <w:rsid w:val="00303105"/>
    <w:rsid w:val="0030343D"/>
    <w:rsid w:val="00305A10"/>
    <w:rsid w:val="00310AA7"/>
    <w:rsid w:val="00347DCE"/>
    <w:rsid w:val="00367CB2"/>
    <w:rsid w:val="00397B37"/>
    <w:rsid w:val="003A19AE"/>
    <w:rsid w:val="003C2661"/>
    <w:rsid w:val="003E6F37"/>
    <w:rsid w:val="0040450C"/>
    <w:rsid w:val="004170EC"/>
    <w:rsid w:val="00417DE1"/>
    <w:rsid w:val="00430C03"/>
    <w:rsid w:val="0044147D"/>
    <w:rsid w:val="004415B9"/>
    <w:rsid w:val="00456C47"/>
    <w:rsid w:val="00461B1B"/>
    <w:rsid w:val="00465D49"/>
    <w:rsid w:val="004B2F97"/>
    <w:rsid w:val="004D3C7D"/>
    <w:rsid w:val="004E1036"/>
    <w:rsid w:val="004F1E6C"/>
    <w:rsid w:val="00525FD3"/>
    <w:rsid w:val="0052655A"/>
    <w:rsid w:val="005628F9"/>
    <w:rsid w:val="005B0775"/>
    <w:rsid w:val="005C6085"/>
    <w:rsid w:val="005D56AC"/>
    <w:rsid w:val="005D77F1"/>
    <w:rsid w:val="00614FE4"/>
    <w:rsid w:val="00615371"/>
    <w:rsid w:val="0062487D"/>
    <w:rsid w:val="00627B24"/>
    <w:rsid w:val="006365BA"/>
    <w:rsid w:val="00671A45"/>
    <w:rsid w:val="00671ADE"/>
    <w:rsid w:val="006E1F62"/>
    <w:rsid w:val="007111B9"/>
    <w:rsid w:val="00731AF4"/>
    <w:rsid w:val="00741B90"/>
    <w:rsid w:val="00755B03"/>
    <w:rsid w:val="00773404"/>
    <w:rsid w:val="007920B5"/>
    <w:rsid w:val="0079330D"/>
    <w:rsid w:val="007B180F"/>
    <w:rsid w:val="007C0E27"/>
    <w:rsid w:val="00807B4C"/>
    <w:rsid w:val="008378B8"/>
    <w:rsid w:val="00840302"/>
    <w:rsid w:val="00855414"/>
    <w:rsid w:val="00875FAE"/>
    <w:rsid w:val="008C55D9"/>
    <w:rsid w:val="008E2ECB"/>
    <w:rsid w:val="008F6A9E"/>
    <w:rsid w:val="009020E3"/>
    <w:rsid w:val="00902445"/>
    <w:rsid w:val="00913B2F"/>
    <w:rsid w:val="00920545"/>
    <w:rsid w:val="00932F2D"/>
    <w:rsid w:val="0094118F"/>
    <w:rsid w:val="009449BE"/>
    <w:rsid w:val="009532D8"/>
    <w:rsid w:val="00964A56"/>
    <w:rsid w:val="009F148C"/>
    <w:rsid w:val="00A0259A"/>
    <w:rsid w:val="00A179A2"/>
    <w:rsid w:val="00A37A4B"/>
    <w:rsid w:val="00A66317"/>
    <w:rsid w:val="00A728C1"/>
    <w:rsid w:val="00AC13A4"/>
    <w:rsid w:val="00AC211A"/>
    <w:rsid w:val="00AC7EEE"/>
    <w:rsid w:val="00AF7F7A"/>
    <w:rsid w:val="00B0410F"/>
    <w:rsid w:val="00B15F2E"/>
    <w:rsid w:val="00B700FA"/>
    <w:rsid w:val="00B93171"/>
    <w:rsid w:val="00BC0014"/>
    <w:rsid w:val="00BC5D32"/>
    <w:rsid w:val="00BD1592"/>
    <w:rsid w:val="00BE1734"/>
    <w:rsid w:val="00C0148F"/>
    <w:rsid w:val="00C047C1"/>
    <w:rsid w:val="00C049F6"/>
    <w:rsid w:val="00C22421"/>
    <w:rsid w:val="00C5498B"/>
    <w:rsid w:val="00CC582A"/>
    <w:rsid w:val="00CF52D5"/>
    <w:rsid w:val="00CF57DB"/>
    <w:rsid w:val="00D021A3"/>
    <w:rsid w:val="00D07112"/>
    <w:rsid w:val="00D2153C"/>
    <w:rsid w:val="00D603D9"/>
    <w:rsid w:val="00D61D32"/>
    <w:rsid w:val="00D75EB8"/>
    <w:rsid w:val="00D9041A"/>
    <w:rsid w:val="00D90FFD"/>
    <w:rsid w:val="00DA33C7"/>
    <w:rsid w:val="00DB2D91"/>
    <w:rsid w:val="00DB377E"/>
    <w:rsid w:val="00E048AA"/>
    <w:rsid w:val="00E257F5"/>
    <w:rsid w:val="00E44C17"/>
    <w:rsid w:val="00E50459"/>
    <w:rsid w:val="00E73B5A"/>
    <w:rsid w:val="00E73B91"/>
    <w:rsid w:val="00E7716F"/>
    <w:rsid w:val="00E77575"/>
    <w:rsid w:val="00E97050"/>
    <w:rsid w:val="00EB4B5E"/>
    <w:rsid w:val="00EE24F6"/>
    <w:rsid w:val="00EF1F23"/>
    <w:rsid w:val="00F15080"/>
    <w:rsid w:val="00F61684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35F0C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8</cp:revision>
  <dcterms:created xsi:type="dcterms:W3CDTF">2023-04-19T09:28:00Z</dcterms:created>
  <dcterms:modified xsi:type="dcterms:W3CDTF">2025-04-30T05:38:00Z</dcterms:modified>
</cp:coreProperties>
</file>