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B" w:rsidRDefault="005430BB" w:rsidP="005430BB">
      <w:pPr>
        <w:rPr>
          <w:rFonts w:ascii="Trebuchet MS" w:eastAsia="Century Gothic" w:hAnsi="Trebuchet MS" w:cs="Calibri"/>
          <w:i/>
          <w:szCs w:val="18"/>
        </w:rPr>
      </w:pPr>
      <w:bookmarkStart w:id="0" w:name="_GoBack"/>
      <w:bookmarkEnd w:id="0"/>
      <w:r w:rsidRPr="007E5671">
        <w:rPr>
          <w:rFonts w:ascii="Trebuchet MS" w:eastAsia="Century Gothic" w:hAnsi="Trebuchet MS" w:cs="Calibri"/>
          <w:i/>
          <w:szCs w:val="18"/>
        </w:rPr>
        <w:t>Za</w:t>
      </w:r>
      <w:r w:rsidR="007D541B">
        <w:rPr>
          <w:rFonts w:ascii="Trebuchet MS" w:eastAsia="Century Gothic" w:hAnsi="Trebuchet MS" w:cs="Calibri"/>
          <w:i/>
          <w:szCs w:val="18"/>
        </w:rPr>
        <w:t>łącznik nr 1 do uchwały nr 477/2021 Senatu WSPA w Lublinie</w:t>
      </w:r>
      <w:r w:rsidRPr="007E5671">
        <w:rPr>
          <w:rFonts w:ascii="Trebuchet MS" w:eastAsia="Century Gothic" w:hAnsi="Trebuchet MS" w:cs="Calibri"/>
          <w:i/>
          <w:szCs w:val="18"/>
        </w:rPr>
        <w:t xml:space="preserve"> – Opis efektów uczenia się dla kierunku </w:t>
      </w:r>
      <w:r>
        <w:rPr>
          <w:rFonts w:ascii="Trebuchet MS" w:eastAsia="Century Gothic" w:hAnsi="Trebuchet MS" w:cs="Calibri"/>
          <w:i/>
          <w:szCs w:val="18"/>
        </w:rPr>
        <w:t>Transport</w:t>
      </w:r>
      <w:r w:rsidRPr="007E5671">
        <w:rPr>
          <w:rFonts w:ascii="Trebuchet MS" w:eastAsia="Century Gothic" w:hAnsi="Trebuchet MS" w:cs="Calibri"/>
          <w:i/>
          <w:szCs w:val="18"/>
        </w:rPr>
        <w:t xml:space="preserve"> </w:t>
      </w:r>
      <w:r w:rsidR="0075557C">
        <w:rPr>
          <w:rFonts w:ascii="Trebuchet MS" w:eastAsia="Century Gothic" w:hAnsi="Trebuchet MS" w:cs="Calibri"/>
          <w:i/>
          <w:szCs w:val="18"/>
        </w:rPr>
        <w:t>2021/2022</w:t>
      </w:r>
    </w:p>
    <w:p w:rsidR="005430BB" w:rsidRPr="007E5671" w:rsidRDefault="005430BB" w:rsidP="005430BB">
      <w:pPr>
        <w:rPr>
          <w:rFonts w:ascii="Trebuchet MS" w:eastAsia="Century Gothic" w:hAnsi="Trebuchet MS" w:cs="Calibri"/>
          <w:i/>
          <w:szCs w:val="18"/>
        </w:rPr>
      </w:pPr>
    </w:p>
    <w:p w:rsidR="005430BB" w:rsidRPr="007838BF" w:rsidRDefault="005430BB" w:rsidP="005430BB">
      <w:pPr>
        <w:autoSpaceDE w:val="0"/>
        <w:autoSpaceDN w:val="0"/>
        <w:adjustRightInd w:val="0"/>
        <w:jc w:val="center"/>
        <w:rPr>
          <w:rFonts w:ascii="Trebuchet MS" w:eastAsia="Calibri" w:hAnsi="Trebuchet MS" w:cstheme="minorHAnsi"/>
          <w:b/>
          <w:bCs/>
          <w:color w:val="000000"/>
          <w:szCs w:val="18"/>
        </w:rPr>
      </w:pP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 xml:space="preserve">EFEKTY UCZENIA SIĘ NA STUDIACH I STOPNIA </w:t>
      </w: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>DLA KIERUNKU TRANSPORT</w:t>
      </w:r>
    </w:p>
    <w:p w:rsidR="005430BB" w:rsidRPr="007A6993" w:rsidRDefault="005430BB" w:rsidP="0054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szCs w:val="18"/>
        </w:rPr>
      </w:pPr>
      <w:r w:rsidRPr="007A6993">
        <w:rPr>
          <w:rFonts w:ascii="Trebuchet MS" w:eastAsia="Calibri" w:hAnsi="Trebuchet MS" w:cstheme="minorHAnsi"/>
          <w:b/>
          <w:bCs/>
          <w:szCs w:val="18"/>
        </w:rPr>
        <w:t>W WYŻSZEJ SZKOLE PRZEDSIĘBIORCZOŚCI I ADMINISTRACJI W LUBLINIE</w:t>
      </w:r>
    </w:p>
    <w:p w:rsidR="005430BB" w:rsidRPr="007838BF" w:rsidRDefault="005430BB" w:rsidP="005430BB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color w:val="000000"/>
          <w:szCs w:val="18"/>
        </w:rPr>
      </w:pPr>
    </w:p>
    <w:p w:rsidR="005430BB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  <w:r w:rsidRPr="007838BF">
        <w:rPr>
          <w:rFonts w:ascii="Trebuchet MS" w:eastAsia="Calibri" w:hAnsi="Trebuchet MS" w:cstheme="minorHAnsi"/>
          <w:b/>
          <w:color w:val="000000"/>
          <w:szCs w:val="18"/>
        </w:rPr>
        <w:t>Sylwetka absolwenta</w:t>
      </w:r>
    </w:p>
    <w:p w:rsidR="005430BB" w:rsidRPr="007838BF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Calibri" w:hAnsi="Trebuchet MS" w:cstheme="minorHAnsi"/>
          <w:b/>
          <w:color w:val="000000"/>
          <w:szCs w:val="18"/>
        </w:rPr>
      </w:pPr>
    </w:p>
    <w:p w:rsidR="005430BB" w:rsidRPr="00BA0AE7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Absolwenci studiów inżynierskich pierwszego stopnia </w:t>
      </w:r>
      <w:r>
        <w:rPr>
          <w:rFonts w:ascii="Trebuchet MS" w:eastAsia="Times New Roman" w:hAnsi="Trebuchet MS" w:cstheme="minorHAnsi"/>
          <w:b/>
          <w:szCs w:val="18"/>
          <w:lang w:eastAsia="pl-PL"/>
        </w:rPr>
        <w:t>kierunku T</w:t>
      </w:r>
      <w:r w:rsidRPr="00BA0AE7">
        <w:rPr>
          <w:rFonts w:ascii="Trebuchet MS" w:eastAsia="Times New Roman" w:hAnsi="Trebuchet MS" w:cstheme="minorHAnsi"/>
          <w:b/>
          <w:szCs w:val="18"/>
          <w:lang w:eastAsia="pl-PL"/>
        </w:rPr>
        <w:t>ransport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 WSPA posiadają wiedzę </w:t>
      </w:r>
      <w:r>
        <w:rPr>
          <w:rFonts w:ascii="Trebuchet MS" w:eastAsia="Times New Roman" w:hAnsi="Trebuchet MS" w:cstheme="minorHAnsi"/>
          <w:szCs w:val="18"/>
          <w:lang w:eastAsia="pl-PL"/>
        </w:rPr>
        <w:br/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>z zakresu funkcjonowania nowoczesnego transportu a w szczególności: inżynierii środków transportowych, inżynierii ruchu oraz analizy systemów transportowych. Mają oni również umiejętności praktycznego rozwiązywania problemów o charakterze technicznym i inżynierskim w zakresie organizacji, planowania, projektowania systemów sterowania i kierowania ruchem; organizowania, nadzorowania i zarządzania procesami transportowymi; pełnienia funkcji kierowniczych w jednostkach organizacyjnych służb inżynierii ruchu. Absolwenci kierunku transport potrafią efektywnie zarządzać procesami związanymi z funkcjonowaniem poszczególnych gałęzi transportu.</w:t>
      </w:r>
    </w:p>
    <w:p w:rsidR="005430BB" w:rsidRPr="00BA0AE7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Absolwenci specjalności 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>Transport</w:t>
      </w:r>
      <w:r>
        <w:rPr>
          <w:rFonts w:ascii="Trebuchet MS" w:eastAsia="Times New Roman" w:hAnsi="Trebuchet MS" w:cstheme="minorHAnsi"/>
          <w:b/>
          <w:i/>
          <w:szCs w:val="18"/>
          <w:lang w:eastAsia="pl-PL"/>
        </w:rPr>
        <w:t>,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spedycja</w:t>
      </w:r>
      <w:r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i</w:t>
      </w:r>
      <w:r w:rsidRPr="00BA0AE7">
        <w:rPr>
          <w:rFonts w:ascii="Trebuchet MS" w:eastAsia="Times New Roman" w:hAnsi="Trebuchet MS" w:cstheme="minorHAnsi"/>
          <w:b/>
          <w:i/>
          <w:szCs w:val="18"/>
          <w:lang w:eastAsia="pl-PL"/>
        </w:rPr>
        <w:t xml:space="preserve"> logistyka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 na kierunku transport WSPA posiadają specjalistyczną wiedzę i umiejętności w zakresie spedycji krajowej i międzynarodowej, techniki przewozu towarów, prawa transportowego UE, logistyki i systemów logistycznych, trans</w:t>
      </w:r>
      <w:r w:rsidR="007523F3">
        <w:rPr>
          <w:rFonts w:ascii="Trebuchet MS" w:eastAsia="Times New Roman" w:hAnsi="Trebuchet MS" w:cstheme="minorHAnsi"/>
          <w:szCs w:val="18"/>
          <w:lang w:eastAsia="pl-PL"/>
        </w:rPr>
        <w:t>portu lotniczego i szynowego, a 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 xml:space="preserve">także w zakresie analizy i globalnego zarządzania systemami logistycznymi, ze szczególnym uwzględnieniem najnowszych technologii IT. </w:t>
      </w:r>
      <w:bookmarkStart w:id="1" w:name="_Hlk523086958"/>
      <w:r w:rsidRPr="00BA0AE7">
        <w:rPr>
          <w:rFonts w:ascii="Trebuchet MS" w:eastAsia="Times New Roman" w:hAnsi="Trebuchet MS" w:cstheme="minorHAnsi"/>
          <w:szCs w:val="18"/>
          <w:lang w:eastAsia="pl-PL"/>
        </w:rPr>
        <w:t>Są przygotowani merytorycznie i praktycznie do podjęcia pracy w</w:t>
      </w:r>
      <w:bookmarkEnd w:id="1"/>
      <w:r w:rsidR="007523F3">
        <w:rPr>
          <w:rFonts w:ascii="Trebuchet MS" w:eastAsia="Times New Roman" w:hAnsi="Trebuchet MS" w:cstheme="minorHAnsi"/>
          <w:szCs w:val="18"/>
          <w:lang w:eastAsia="pl-PL"/>
        </w:rPr>
        <w:t> </w:t>
      </w:r>
      <w:r w:rsidRPr="00BA0AE7">
        <w:rPr>
          <w:rFonts w:ascii="Trebuchet MS" w:eastAsia="Times New Roman" w:hAnsi="Trebuchet MS" w:cstheme="minorHAnsi"/>
          <w:szCs w:val="18"/>
          <w:lang w:eastAsia="pl-PL"/>
        </w:rPr>
        <w:t>przedsiębiorstwach transportowych na stanowisku spedytora, logistyka w różnych gałęziach transportu. Posiadają predyspozycje organizatorskie.</w:t>
      </w:r>
    </w:p>
    <w:p w:rsidR="005430BB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</w:pPr>
      <w:r w:rsidRPr="000E4916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 xml:space="preserve">Absolwenci specjalności </w:t>
      </w:r>
      <w:r>
        <w:rPr>
          <w:rFonts w:ascii="Trebuchet MS" w:eastAsia="Times New Roman" w:hAnsi="Trebuchet MS" w:cstheme="minorHAnsi"/>
          <w:b/>
          <w:i/>
          <w:color w:val="000000" w:themeColor="text1"/>
          <w:szCs w:val="18"/>
          <w:lang w:eastAsia="pl-PL"/>
        </w:rPr>
        <w:t>Eksploatacja dronów</w:t>
      </w:r>
      <w:r w:rsidRPr="000E4916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 xml:space="preserve"> posiadają specjalistyczną wiedzę i umiejętności praktyczne w zakresie projektowania, budowy oraz eksploatacji i obsługi sy</w:t>
      </w:r>
      <w:r w:rsidR="007523F3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>stemów bezzałogowych lądowych i </w:t>
      </w:r>
      <w:r w:rsidRPr="000E4916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 xml:space="preserve">powietrznych. Są ponadto przygotowani teoretycznie do przystąpienia do egzaminu państwowego w Urzędzie Lotnictwa Cywilnego w celu uzyskania Świadectwa Kwalifikacji uprawniającego do wykonywania lotów bezzałogowymi statkami powietrznymi (tzw. dronami) w polskiej przestrzeni powietrznej. Absolwenci specjalności </w:t>
      </w:r>
      <w:r w:rsidRPr="000E4916">
        <w:rPr>
          <w:rFonts w:ascii="Trebuchet MS" w:eastAsia="Times New Roman" w:hAnsi="Trebuchet MS" w:cstheme="minorHAnsi"/>
          <w:i/>
          <w:color w:val="000000" w:themeColor="text1"/>
          <w:szCs w:val="18"/>
          <w:lang w:eastAsia="pl-PL"/>
        </w:rPr>
        <w:t>Systemy bezzałogowe w transporcie</w:t>
      </w:r>
      <w:r w:rsidRPr="000E4916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 xml:space="preserve"> znajdą zatrudnienie w bardzo dynamicznie rozwijającej się obecnie branży systemów bezzałogowych w charakterze pilota lub konstruktora dronów. Obecnie drony znajdują zastosowanie w coraz większej ilości instytucji związanych z przemysłem filmowym, geodezją, kartografią, </w:t>
      </w:r>
      <w:r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>ochroną porządku publicznego, be</w:t>
      </w:r>
      <w:r w:rsidRPr="000E4916"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  <w:t>zpieczeństwem, pożarnictwem, leśnictwem, wojskowością itp.</w:t>
      </w:r>
    </w:p>
    <w:p w:rsidR="005430BB" w:rsidRPr="000E4916" w:rsidRDefault="005430BB" w:rsidP="005430B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rebuchet MS" w:eastAsia="Times New Roman" w:hAnsi="Trebuchet MS" w:cstheme="minorHAnsi"/>
          <w:color w:val="000000" w:themeColor="text1"/>
          <w:szCs w:val="18"/>
          <w:lang w:eastAsia="pl-PL"/>
        </w:rPr>
      </w:pPr>
      <w:r w:rsidRPr="00AC0B24">
        <w:rPr>
          <w:rFonts w:ascii="Trebuchet MS" w:eastAsia="Times New Roman" w:hAnsi="Trebuchet MS" w:cstheme="minorHAnsi"/>
          <w:szCs w:val="18"/>
          <w:lang w:eastAsia="pl-PL"/>
        </w:rPr>
        <w:t>Absolwen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ci specjalności </w:t>
      </w:r>
      <w:r w:rsidRPr="007D541B">
        <w:rPr>
          <w:rFonts w:ascii="Trebuchet MS" w:eastAsia="Times New Roman" w:hAnsi="Trebuchet MS" w:cstheme="minorHAnsi"/>
          <w:b/>
          <w:szCs w:val="18"/>
          <w:lang w:eastAsia="pl-PL"/>
        </w:rPr>
        <w:t>S</w:t>
      </w:r>
      <w:r w:rsidRPr="00AC0B24">
        <w:rPr>
          <w:rFonts w:ascii="Trebuchet MS" w:eastAsia="Times New Roman" w:hAnsi="Trebuchet MS" w:cstheme="minorHAnsi"/>
          <w:b/>
          <w:i/>
          <w:szCs w:val="18"/>
          <w:lang w:eastAsia="pl-PL"/>
        </w:rPr>
        <w:t>ystemy informatyczne w łańcuchu dostaw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posiada</w:t>
      </w:r>
      <w:r>
        <w:rPr>
          <w:rFonts w:ascii="Trebuchet MS" w:eastAsia="Times New Roman" w:hAnsi="Trebuchet MS" w:cstheme="minorHAnsi"/>
          <w:szCs w:val="18"/>
          <w:lang w:eastAsia="pl-PL"/>
        </w:rPr>
        <w:t>ją specjalistyczną</w:t>
      </w:r>
      <w:r w:rsidR="007523F3">
        <w:rPr>
          <w:rFonts w:ascii="Trebuchet MS" w:eastAsia="Times New Roman" w:hAnsi="Trebuchet MS" w:cstheme="minorHAnsi"/>
          <w:szCs w:val="18"/>
          <w:lang w:eastAsia="pl-PL"/>
        </w:rPr>
        <w:t xml:space="preserve"> wiedzę i 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umiejętności </w:t>
      </w:r>
      <w:r>
        <w:rPr>
          <w:rFonts w:ascii="Trebuchet MS" w:eastAsia="Times New Roman" w:hAnsi="Trebuchet MS" w:cstheme="minorHAnsi"/>
          <w:szCs w:val="18"/>
          <w:lang w:eastAsia="pl-PL"/>
        </w:rPr>
        <w:t>praktyczne w zakresie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szeroko rozumianego wsparcia technicznego i teleinformatycznego procesów logistycznych w firmach transportowych i spedycyjnych. Specjalność umożliwia zdobycie kompetencji związanych z organizacją, zarządzaniem i kontrolowaniem systemów </w:t>
      </w:r>
      <w:r>
        <w:rPr>
          <w:rFonts w:ascii="Trebuchet MS" w:eastAsia="Times New Roman" w:hAnsi="Trebuchet MS" w:cstheme="minorHAnsi"/>
          <w:szCs w:val="18"/>
          <w:lang w:eastAsia="pl-PL"/>
        </w:rPr>
        <w:t>logistycznych z wykorzystaniem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narzędzi informatycznych i baz danych. Absolwenci specjalności 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są 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>przygotowani merytorycznie i praktycznie do</w:t>
      </w:r>
      <w:r>
        <w:rPr>
          <w:rFonts w:ascii="Trebuchet MS" w:eastAsia="Times New Roman" w:hAnsi="Trebuchet MS" w:cstheme="minorHAnsi"/>
          <w:szCs w:val="18"/>
          <w:lang w:eastAsia="pl-PL"/>
        </w:rPr>
        <w:t xml:space="preserve"> podjęcia</w:t>
      </w:r>
      <w:r w:rsidRPr="00AC0B24">
        <w:rPr>
          <w:rFonts w:ascii="Trebuchet MS" w:eastAsia="Times New Roman" w:hAnsi="Trebuchet MS" w:cstheme="minorHAnsi"/>
          <w:szCs w:val="18"/>
          <w:lang w:eastAsia="pl-PL"/>
        </w:rPr>
        <w:t xml:space="preserve"> pracy zawodowej na stanowiskach kierowniczych i specjalistów w przedsiębiorstwach branży logistycznej.</w:t>
      </w:r>
    </w:p>
    <w:p w:rsidR="005430BB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:rsidR="005430BB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:rsidR="005430BB" w:rsidRPr="000E4916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color w:val="000000" w:themeColor="text1"/>
          <w:szCs w:val="18"/>
        </w:rPr>
        <w:lastRenderedPageBreak/>
        <w:t>Efekty uczenia się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75557C" w:rsidRPr="003E5E1A" w:rsidRDefault="0075557C" w:rsidP="0075557C">
      <w:pPr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Dziedzina: nauk inżynieryjno-technicznych</w:t>
      </w:r>
    </w:p>
    <w:p w:rsidR="0075557C" w:rsidRPr="003E5E1A" w:rsidRDefault="0075557C" w:rsidP="0075557C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Kierunek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Transport</w:t>
      </w:r>
    </w:p>
    <w:p w:rsidR="0075557C" w:rsidRPr="003E5E1A" w:rsidRDefault="0075557C" w:rsidP="0075557C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Poziom studiów: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 xml:space="preserve"> studia pierwszego stopnia</w:t>
      </w:r>
    </w:p>
    <w:p w:rsidR="0075557C" w:rsidRPr="003E5E1A" w:rsidRDefault="0075557C" w:rsidP="0075557C">
      <w:pPr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 xml:space="preserve">Profil kształcenia: </w:t>
      </w: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praktyczny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bCs/>
          <w:color w:val="000000" w:themeColor="text1"/>
          <w:szCs w:val="18"/>
        </w:rPr>
        <w:t>Objaśnienie oznaczeń: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TR – efekt kierunkowy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W – kategoria wiedzy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U – kategoria umiejętności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K – kategoria kompetencji społecznych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Cs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Cs/>
          <w:color w:val="000000" w:themeColor="text1"/>
          <w:szCs w:val="18"/>
        </w:rPr>
        <w:t>01, 02, 03 i kolejne – numer efektu uczenia się</w:t>
      </w: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75557C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75557C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</w:p>
    <w:p w:rsidR="0075557C" w:rsidRPr="003E5E1A" w:rsidRDefault="0075557C" w:rsidP="0075557C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color w:val="000000" w:themeColor="text1"/>
          <w:szCs w:val="18"/>
        </w:rPr>
      </w:pPr>
      <w:r w:rsidRPr="003E5E1A">
        <w:rPr>
          <w:rFonts w:ascii="Trebuchet MS" w:eastAsia="Calibri" w:hAnsi="Trebuchet MS" w:cstheme="minorHAnsi"/>
          <w:b/>
          <w:color w:val="000000" w:themeColor="text1"/>
          <w:szCs w:val="18"/>
        </w:rPr>
        <w:t>Tabela 1. Zamierzone szczegółowe efekty uczenia się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8"/>
        <w:gridCol w:w="5671"/>
        <w:gridCol w:w="1431"/>
        <w:gridCol w:w="1402"/>
      </w:tblGrid>
      <w:tr w:rsidR="0075557C" w:rsidRPr="003E5E1A" w:rsidTr="00F24349">
        <w:trPr>
          <w:jc w:val="center"/>
        </w:trPr>
        <w:tc>
          <w:tcPr>
            <w:tcW w:w="1118" w:type="dxa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Efekty uczenia się dla kierunku</w:t>
            </w:r>
          </w:p>
        </w:tc>
        <w:tc>
          <w:tcPr>
            <w:tcW w:w="5671" w:type="dxa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OPIS KIERUNKOWYCH EFEKTÓW UCZENIA SIĘ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Po zakończeniu studiów I stopnia na kierunku absolwent: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na poziomie 6 Polskiej Ramy Kwalifikacji</w:t>
            </w:r>
          </w:p>
        </w:tc>
        <w:tc>
          <w:tcPr>
            <w:tcW w:w="1402" w:type="dxa"/>
            <w:shd w:val="clear" w:color="auto" w:fill="D9D9D9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Odniesienie do efektów uczenia się dla kwalifikacji obejmujących kompetencje inżynierskie</w:t>
            </w:r>
          </w:p>
        </w:tc>
      </w:tr>
      <w:tr w:rsidR="0075557C" w:rsidRPr="003E5E1A" w:rsidTr="00F24349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  <w:t>WIEDZA</w:t>
            </w:r>
          </w:p>
        </w:tc>
        <w:tc>
          <w:tcPr>
            <w:tcW w:w="1402" w:type="dxa"/>
            <w:shd w:val="clear" w:color="auto" w:fill="D9D9D9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bCs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matematyki, obejmującą algebrę, analizę, rachunek prawdopodobieństwa i badania operacyjne, niezbędną do opisu i analizy systemów oraz procesów transportowych, a także budowy i funkcjonowania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151000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151000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prawa i zasady z zakresu fizyki, termodynamiki,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mechaniki zużycia elementów maszyn, niezbędne do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zrozumienia wybranych zjawisk i procesów fizycznych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zachodzących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 w stopniu zaawansowanym słownictwo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specjalistyczne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 zakresu transportu, w tym również w języku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obcym</w:t>
            </w:r>
            <w:proofErr w:type="gramEnd"/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mechaniki technicznej, niezbędną do zrozumienia praw mechaniki i rozwiązywania problemów technicznych, w tym umożliwiającą przeprowadzanie analiz wytrzymałościowych elementów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dotyczącą technologii budowy i remontów obiektów technicznych oraz materiałów inżynierskich stosowanych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graficznego przedstawiania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elementów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maszyn, ich wymiarowania oraz tworzenia dokumentacji technicznej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151000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151000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 w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iedzę dotyczącą eksploatacji, niezawodności i trwałości maszyn i urządzeń oraz obiektów i systemów technicznych stosowanych w transporcie, jak również rozumie wpływ ich właściwej eksploatacji na wydłużenie cyklu życia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lastRenderedPageBreak/>
              <w:t>TR_W08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pojęcia z zakresu materiałoznawstwa, z uwzględnieniem zagadnień wytrzymałościowych, zna materiały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eksploatacyjne stosowane w pojazdach i urządzeniach użytkowanych w systemach transportowych oraz zasady doboru materiałów stosowanych w konstrukcjach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TR_W09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wybranych zagadnień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elektroniki, elektrotechniki i automatyki, niezbędną przy realizacji zadań typowych dla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dotyczącą diagnostyki, naprawy oraz zastosowania środków transportu i ich podsystemów, zna zasady ich projektowania oraz trendy rozwojowe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na temat funkcjonowania i wykorzystywania infrastruktury transportowej oraz zna metody jej kształtowania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trHeight w:val="321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w zakresie inżynierii ruchu oraz teorii ruchu pojazdów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z zakresu budowy, własności i badań źródeł napędu środków transportu oraz paliw, w tym alternatywnych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zaawansowaną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metrologii, planowania eksperymentów, modelowania i symulacji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rozumie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w stopniu zaawansowanym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standardy i normy techniczne związane z transportem drogowym, kolejowym, morskim i lotniczym, ma wiedzę o technicznych aspektach bezpieczeństwa eksploatacji urządzeń, obiektów i systemów technicznych stosowanych w 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i rozumie wybrane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metody, techniki, narzędzia i materiały oraz wymagania stosowane przy rozwiązywaniu zadań inżynierskich typowych dla szeroko rozumianych problemów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wiedzę w zakresie technologii informacyjnych i komputerowych, w tym niezbędną do pozyskiwania i przetwarzania informacji w procesach transportowych oraz do komputerowego wspomagania rozwiązywania zadań technicznych i zarządzania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wiedzę niezbędną do rozumienia społecznych, ekonomicznych, prawnych, ekologicznych i innych pozatechnicznych aspektów działalności inżynierskiej charakterystycznych dla transportu i logistyki, zna i rozumie zasady bezpieczeństwa i higieny pracy obowiązujące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TR_W19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zaawansowaną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wiedzę z zakresu organizacji i zarządzania w transporcie, w tym zna i rozumie uwarunkowania procesów transportowych oraz zasady organizacji i sterowania ruchem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trHeight w:val="836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zaawansowaną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wiedzę dotyczącą funkcjonowania systemów transportowych i logistycznych, zna i rozumie zasady ich projektowania i analizy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wiedzę w zakresie łańcuchów i procesów logistycznych przedsiębiorstwa, zna zasady ich projektowania i automatyzacji oraz zarządzania nimi z wykorzystaniem narzędzi informatycznych i baz danych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w zakresie informatycznego wsparcia usług transportowych, magazynowych lub eksploatacyjnych, zna i rozumie zasady bezpieczeństwa infrastruktury logistycznej i informatycznej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zasady zarządzania, planowania, organizowania,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realizowania i kontrolowania przepływu dóbr i informacji oraz</w:t>
            </w:r>
            <w:r>
              <w:rPr>
                <w:rFonts w:ascii="Trebuchet MS" w:eastAsia="Century Gothic" w:hAnsi="Trebuchet MS" w:cstheme="minorHAnsi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szCs w:val="18"/>
              </w:rPr>
              <w:t>osób i ładunków, uwzględniających aktualne warunki i mechanizmy funkcjonowania przedsiębiorstw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regulacje prawne w transporcie, spedycji i obsłudze celnej oraz zasady wypełniania dokumentów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P6S_WG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z ekonomii, finansów oraz organizacji i zarządzania umożliwiającą podejmowanie i prowadzenie działalności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gospodarczej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związanej z transportem, zna i rozumie podstawy szacowania kosztów i opłacalności takich zamierzeń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i rozumie pojęcia i zasady z zakresu ochrony własności intelektualnej i prawa autorskiego oraz ochrony i bezpieczeństwa danych, potrafi korzystać z zasobów informacji patentowej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TR_W27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szCs w:val="18"/>
              </w:rPr>
              <w:t xml:space="preserve"> wiedzę o kreatywności i podmiotowości człowieka, zna i rozumie twórcze i praktyczne zastosowanie nabytej wiedzy z zakresu transportu w działalności zawodowej związanej z kierunkiem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P6S_WK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UMIEJĘTNOŚCI</w:t>
            </w:r>
          </w:p>
        </w:tc>
        <w:tc>
          <w:tcPr>
            <w:tcW w:w="1402" w:type="dxa"/>
            <w:shd w:val="clear" w:color="auto" w:fill="D9D9D9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integrować, interpretować i wyciągać wnioski z informacji pozyskanych z literatury, baz danych oraz innych źródeł, także w języku angielskim lub innym języku obcym w zakresie zagadnień związanych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porozumiewać się przy użyciu różnych technik w środowisku zawodowym związanym z transportem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w języku polskim i języku obcym dobrze udokumentowane opracowanie problemów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komunikować się z użyciem specjalistycznej terminologii, brać udział w debacie oraz przygotować i przedstawić w języku polskim i języku obcym prezentację ustną, dotyczącą szczegółowych zagadnień z zakresu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posługiwania się językiem obcym, zgodne z 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P6S_UK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P6S_UO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rozumie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P6S_UU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i przeprowadzać eksperymenty, pomiary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symulacje komputerowe oraz interpretować uzyskane wyniki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wyciągać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TR_U09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i modele matematyczne, a także programy komputerowe, do analizy i oceny działania elementów i zespołów pojazdów i urządzeń oraz systemów eksploatacji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wykonywać zadania i przeprowadzić analizę zagadnienia inżynierskiego na podstawie poznanych teorii i praw, w tym zasad fizyki, elektrotechniki, grafiki inżynierskiej i narzędzi matematycznych oraz technik </w:t>
            </w:r>
            <w:proofErr w:type="spell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informacyjno</w:t>
            </w:r>
            <w:proofErr w:type="spell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– komunikacyjnych, a także opracować stosowną dokumentację oraz czytać i analizować rysunki techniczne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zaplanować i przeprowadzić pomiary charakterystyk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mechanicznych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przedstawić otrzymane wyniki w formie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liczbowej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graficznej, dokonać ich interpretacji i wyciągnąć właściwe wnioski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rutynowych metod i narzędzi służących do rozwiązywania zadań inżynierskich typowych dla szeroko rozumianych problemów związanych z transportem, oraz wybrać i zastosować właściwą metodę (procedurę) i narzędzia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umiejętność i doświadczenie w korzystaniu z norm i standardów związanych z transportem,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warunki konstrukcyjne – eksploatacyjne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wykorzystywać je w procesie projektowania elementów maszyn, w tym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formułować i rozwiązywać zadania obejmujące projektowanie środków i systemów transportu, a także dostrzegać ich aspekty pozatechniczne, w tym środowiskowe, ekonomiczne, prawne, etyczne oraz związane z bezpieczeństwem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krytycznej analizy i ocenić funkcjonalność środków i systemów transportowych ze względu na zadane kryteria użytkowe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diagnozować wybrane środki transportu oraz scharakteryzować nowoczesne technologie stosowane w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umiejętności praktyczne w zakresie eksploatacji systemów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i środków transportu, potrafi rozwiązywać problemy techniczne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 xml:space="preserve">w oparciu o prawa mechaniki technicznej, a także wskazywać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br/>
              <w:t>i dobierać materiały do określonych zastosowań w transporcie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TR_U19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szacować koszty projektowania, wytworzenia, zakupu, eksploatacji i utylizacji środków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posiada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i potrafi wykorzystać doświadczenie związane z utrzymaniem urządzeń, obiektów i systemów technicznych typowych dla transportu, zdobyte w środowisku zajmującym się zawodowo działalnością inżynierską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dobrać i odpowiednio wykorzystać narzędzia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informatyczne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wspomagające projektowanie, modelowanie i weryfikację do rozwiązywania zadań inżynierskich, w tym stosować rozwiązania teleinformatyczne w systemach i środkach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określić wymagania dla systemu informatycznego wspomagającego eksploatację określonego środka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transportowego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lub systemu transportowego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dokonać analizy infrastruktury transportowej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="Calibri"/>
                <w:color w:val="000000"/>
                <w:szCs w:val="18"/>
              </w:rPr>
              <w:t xml:space="preserve"> ocenić jej wpływ na środowisko naturalne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przeprowadzić analizę ruchu drogowego i jego bezpieczeństwa oraz dobrać odpowiednie zasady inżynierii ruchu i środki transportowe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zaprojektować, zbudować oraz obsługiwać prosty system elektroniczny, ma umiejętność identyfikowania, projektowania i testowania układów sterowania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modelować oraz stosować układy automatyki i regulacji w 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oraz obsługiwać urządzenia sterowania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ruchem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, diagnozować ich stan oraz oceniać niezawodność i bezpieczeństwo, a także wykorzystać innowacyjne technologie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w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obszarze inteligentnych systemów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ocenić przydatność zastosowania nowoczesnych systemów napędowych, źródeł zasilania oraz paliw w różnych środkach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TR_U29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projektować systemy transportowe i logistyczne, w tym z wykorzystaniem technik komputerowych i badań operacyjnych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i oceny funkcjonowania systemu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logistycznego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oraz wybranych jego elementów, a także dobrać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środki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transportu do wskazanych zadań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wykorzystać poznane metody analityczne, symulacyjne</w:t>
            </w:r>
          </w:p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eksperymentalne do przygotowania, organizowania i modelowania procesów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analizy wydajności poszczególnych procesów transportowych i umiejętnej ich optymalizacji oraz ocenić efektywność i sprawność procesów i środków transportowych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planować funkcjonowanie przedsiębiorstwa przewozowego, a także rozwiązywać powstające w nim problemy, uwzględniając uwarunkowania techniczne,</w:t>
            </w:r>
            <w:r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</w:t>
            </w: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prawne i inne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przygotować specyfikacje istotnych warunków zamówienia w odniesieniu do środków transportowych i elementów infrastruktury transportowej na poziomie realizowanych funkcji przewozowych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31CE3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dokonać wstępnej analizy ekonomicznej i oszacować efekty ekonomiczne podejmowanych działań inżynierskich w zakresie transportu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TR_U36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doświadczenie związane z rozwiązywaniem praktycznych zadań inżynierskich, zdobyte w środowisku zajmującym się zawodowo działalnością inżynierską związaną z transportem, zna i stosuje zasady bezpieczeństwa i higieny pracy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  <w:tc>
          <w:tcPr>
            <w:tcW w:w="1402" w:type="dxa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P6S_UW</w:t>
            </w:r>
          </w:p>
        </w:tc>
      </w:tr>
      <w:tr w:rsidR="0075557C" w:rsidRPr="003E5E1A" w:rsidTr="00F24349">
        <w:trPr>
          <w:jc w:val="center"/>
        </w:trPr>
        <w:tc>
          <w:tcPr>
            <w:tcW w:w="8220" w:type="dxa"/>
            <w:gridSpan w:val="3"/>
            <w:shd w:val="clear" w:color="auto" w:fill="D9D9D9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  <w:t>KOMPETENCJE SPOŁECZNE</w:t>
            </w:r>
          </w:p>
        </w:tc>
        <w:tc>
          <w:tcPr>
            <w:tcW w:w="1402" w:type="dxa"/>
            <w:shd w:val="clear" w:color="auto" w:fill="D9D9D9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b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krytycznej oceny wyników pracy własnej, rozumie znaczenie wiedzy w rozwiązywaniu problemów, w przypadku wystąpienia trudności poznawczych potrafi zwrócić się do eksperta w danej dziedzinie naukowej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P6S_KK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wypełniania zobowiązań społecznych, współorganizowania działalności na rzecz środowiska społecznego oraz inicjowania działania na rzecz interesu publicznego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P6S_KO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proofErr w:type="gramStart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ma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świadomość ważności i rozumie pozatechniczne aspekty i skutki działalności inżynierskiej, w tym jej wpływu na środowisko i związanej z tym odpowiedzialności za podejmowane decyzje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myśleć i działać w sposób przedsiębiorczy i kreatywny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potrafi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odpowiednio określić priorytety służące realizacji określonego przez siebie lub innych zadania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UniversPro-Roman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P6S_KK, P6S_KO, P6S_KR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  <w:tr w:rsidR="0075557C" w:rsidRPr="003E5E1A" w:rsidTr="00F24349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TR_K07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5557C" w:rsidRPr="003E5E1A" w:rsidRDefault="0075557C" w:rsidP="00F24349">
            <w:pPr>
              <w:jc w:val="center"/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</w:pPr>
            <w:proofErr w:type="gramStart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>jest</w:t>
            </w:r>
            <w:proofErr w:type="gramEnd"/>
            <w:r w:rsidRPr="003E5E1A">
              <w:rPr>
                <w:rFonts w:ascii="Trebuchet MS" w:eastAsia="Century Gothic" w:hAnsi="Trebuchet MS" w:cs="UniversPro-Roman"/>
                <w:color w:val="000000" w:themeColor="text1"/>
                <w:szCs w:val="16"/>
              </w:rPr>
              <w:t xml:space="preserve"> wrażliwy na występujące w transporcie zagrożenia i ma świadomość związanego z nimi ryzyka i konsekwencji zagrożeń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alibri" w:hAnsi="Trebuchet MS"/>
                <w:color w:val="000000" w:themeColor="text1"/>
                <w:szCs w:val="16"/>
              </w:rPr>
              <w:t>P6S_KO</w:t>
            </w:r>
          </w:p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  <w:r w:rsidRPr="003E5E1A">
              <w:rPr>
                <w:rFonts w:ascii="Trebuchet MS" w:eastAsia="Century Gothic" w:hAnsi="Trebuchet MS" w:cstheme="minorHAnsi"/>
                <w:color w:val="000000" w:themeColor="text1"/>
                <w:szCs w:val="18"/>
              </w:rPr>
              <w:t>P6S_KR</w:t>
            </w:r>
          </w:p>
        </w:tc>
        <w:tc>
          <w:tcPr>
            <w:tcW w:w="1402" w:type="dxa"/>
          </w:tcPr>
          <w:p w:rsidR="0075557C" w:rsidRPr="003E5E1A" w:rsidRDefault="0075557C" w:rsidP="00F24349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color w:val="000000" w:themeColor="text1"/>
                <w:szCs w:val="16"/>
              </w:rPr>
            </w:pPr>
          </w:p>
        </w:tc>
      </w:tr>
    </w:tbl>
    <w:p w:rsidR="0075557C" w:rsidRPr="003E5E1A" w:rsidRDefault="0075557C" w:rsidP="0075557C">
      <w:pPr>
        <w:jc w:val="center"/>
        <w:rPr>
          <w:rFonts w:ascii="Trebuchet MS" w:eastAsia="Century Gothic" w:hAnsi="Trebuchet MS" w:cstheme="minorHAnsi"/>
          <w:szCs w:val="18"/>
        </w:rPr>
      </w:pPr>
    </w:p>
    <w:p w:rsidR="0075557C" w:rsidRPr="003E5E1A" w:rsidRDefault="0075557C" w:rsidP="0075557C"/>
    <w:p w:rsidR="0075557C" w:rsidRPr="003E5E1A" w:rsidRDefault="0075557C" w:rsidP="0075557C">
      <w:pPr>
        <w:rPr>
          <w:rFonts w:ascii="Calibri" w:eastAsia="Calibri" w:hAnsi="Calibri" w:cs="Times New Roman"/>
        </w:rPr>
      </w:pPr>
    </w:p>
    <w:p w:rsidR="0075557C" w:rsidRPr="003E5E1A" w:rsidRDefault="0075557C" w:rsidP="0075557C"/>
    <w:p w:rsidR="005430BB" w:rsidRPr="000E4916" w:rsidRDefault="005430BB" w:rsidP="005430BB">
      <w:pPr>
        <w:autoSpaceDE w:val="0"/>
        <w:autoSpaceDN w:val="0"/>
        <w:adjustRightInd w:val="0"/>
        <w:jc w:val="both"/>
        <w:rPr>
          <w:rFonts w:ascii="Trebuchet MS" w:eastAsia="Century Gothic" w:hAnsi="Trebuchet MS" w:cstheme="minorHAnsi"/>
          <w:color w:val="000000" w:themeColor="text1"/>
          <w:szCs w:val="18"/>
          <w:lang w:eastAsia="pl-PL"/>
        </w:rPr>
      </w:pPr>
    </w:p>
    <w:sectPr w:rsidR="005430BB" w:rsidRPr="000E4916" w:rsidSect="007A256F">
      <w:headerReference w:type="default" r:id="rId7"/>
      <w:footerReference w:type="default" r:id="rId8"/>
      <w:pgSz w:w="11906" w:h="16838"/>
      <w:pgMar w:top="1985" w:right="1418" w:bottom="1985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19" w:rsidRDefault="00650519" w:rsidP="00C123AC">
      <w:pPr>
        <w:spacing w:line="240" w:lineRule="auto"/>
      </w:pPr>
      <w:r>
        <w:separator/>
      </w:r>
    </w:p>
  </w:endnote>
  <w:endnote w:type="continuationSeparator" w:id="0">
    <w:p w:rsidR="00650519" w:rsidRDefault="00650519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9606280</wp:posOffset>
          </wp:positionV>
          <wp:extent cx="7596000" cy="1080000"/>
          <wp:effectExtent l="0" t="0" r="508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19" w:rsidRDefault="00650519" w:rsidP="00C123AC">
      <w:pPr>
        <w:spacing w:line="240" w:lineRule="auto"/>
      </w:pPr>
      <w:r>
        <w:separator/>
      </w:r>
    </w:p>
  </w:footnote>
  <w:footnote w:type="continuationSeparator" w:id="0">
    <w:p w:rsidR="00650519" w:rsidRDefault="00650519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AC" w:rsidRPr="002625FA" w:rsidRDefault="007D24B0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-895350</wp:posOffset>
          </wp:positionH>
          <wp:positionV relativeFrom="page">
            <wp:posOffset>9525</wp:posOffset>
          </wp:positionV>
          <wp:extent cx="7560000" cy="1076400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16C0B"/>
    <w:rsid w:val="0002411A"/>
    <w:rsid w:val="00031304"/>
    <w:rsid w:val="000A7337"/>
    <w:rsid w:val="000C155A"/>
    <w:rsid w:val="000C237F"/>
    <w:rsid w:val="000C7FEB"/>
    <w:rsid w:val="000E2103"/>
    <w:rsid w:val="000E7CC9"/>
    <w:rsid w:val="001008B4"/>
    <w:rsid w:val="0013369A"/>
    <w:rsid w:val="00151000"/>
    <w:rsid w:val="0015338D"/>
    <w:rsid w:val="00166C3F"/>
    <w:rsid w:val="001B2D5C"/>
    <w:rsid w:val="00213B6D"/>
    <w:rsid w:val="00252241"/>
    <w:rsid w:val="002625FA"/>
    <w:rsid w:val="00276DBC"/>
    <w:rsid w:val="002A51F5"/>
    <w:rsid w:val="003261B1"/>
    <w:rsid w:val="00334BE6"/>
    <w:rsid w:val="003527E1"/>
    <w:rsid w:val="00397A7B"/>
    <w:rsid w:val="003C0BC1"/>
    <w:rsid w:val="00411DB7"/>
    <w:rsid w:val="00421224"/>
    <w:rsid w:val="004A7C1E"/>
    <w:rsid w:val="004D3545"/>
    <w:rsid w:val="00513DAB"/>
    <w:rsid w:val="005430BB"/>
    <w:rsid w:val="00576264"/>
    <w:rsid w:val="00587A2E"/>
    <w:rsid w:val="005A5C4F"/>
    <w:rsid w:val="005B17EC"/>
    <w:rsid w:val="005B1CDD"/>
    <w:rsid w:val="005B5A63"/>
    <w:rsid w:val="005B7FFE"/>
    <w:rsid w:val="00650519"/>
    <w:rsid w:val="00662A78"/>
    <w:rsid w:val="00677785"/>
    <w:rsid w:val="006E2407"/>
    <w:rsid w:val="00727EA7"/>
    <w:rsid w:val="007340E4"/>
    <w:rsid w:val="007523F3"/>
    <w:rsid w:val="00752ED2"/>
    <w:rsid w:val="0075557C"/>
    <w:rsid w:val="007626C3"/>
    <w:rsid w:val="00790CA6"/>
    <w:rsid w:val="00793FFF"/>
    <w:rsid w:val="007A1FED"/>
    <w:rsid w:val="007A256F"/>
    <w:rsid w:val="007D127B"/>
    <w:rsid w:val="007D24B0"/>
    <w:rsid w:val="007D541B"/>
    <w:rsid w:val="007E314B"/>
    <w:rsid w:val="007F7699"/>
    <w:rsid w:val="00841CC5"/>
    <w:rsid w:val="008E04CB"/>
    <w:rsid w:val="008F7228"/>
    <w:rsid w:val="0091254C"/>
    <w:rsid w:val="00967041"/>
    <w:rsid w:val="009B4579"/>
    <w:rsid w:val="00A15528"/>
    <w:rsid w:val="00A778E8"/>
    <w:rsid w:val="00A83344"/>
    <w:rsid w:val="00A85F29"/>
    <w:rsid w:val="00A91429"/>
    <w:rsid w:val="00AA242E"/>
    <w:rsid w:val="00AC19D1"/>
    <w:rsid w:val="00AD3FBE"/>
    <w:rsid w:val="00AE1E42"/>
    <w:rsid w:val="00AE518C"/>
    <w:rsid w:val="00B1668D"/>
    <w:rsid w:val="00B4297F"/>
    <w:rsid w:val="00B514F4"/>
    <w:rsid w:val="00B75134"/>
    <w:rsid w:val="00BB1F7E"/>
    <w:rsid w:val="00BC37FC"/>
    <w:rsid w:val="00BF792B"/>
    <w:rsid w:val="00C123AC"/>
    <w:rsid w:val="00C23878"/>
    <w:rsid w:val="00C52B54"/>
    <w:rsid w:val="00C81DC1"/>
    <w:rsid w:val="00C919E4"/>
    <w:rsid w:val="00C93AF0"/>
    <w:rsid w:val="00CB08FC"/>
    <w:rsid w:val="00CB0D90"/>
    <w:rsid w:val="00CB1A66"/>
    <w:rsid w:val="00CB55F3"/>
    <w:rsid w:val="00CE2146"/>
    <w:rsid w:val="00CE63C5"/>
    <w:rsid w:val="00D3296D"/>
    <w:rsid w:val="00D65FED"/>
    <w:rsid w:val="00D85395"/>
    <w:rsid w:val="00DE7A1C"/>
    <w:rsid w:val="00DF7A23"/>
    <w:rsid w:val="00E062D6"/>
    <w:rsid w:val="00E270F2"/>
    <w:rsid w:val="00E726D1"/>
    <w:rsid w:val="00E74B90"/>
    <w:rsid w:val="00EB1DD4"/>
    <w:rsid w:val="00EB4061"/>
    <w:rsid w:val="00F75D07"/>
    <w:rsid w:val="00F84D0F"/>
    <w:rsid w:val="00FB40C2"/>
    <w:rsid w:val="00FB4D07"/>
    <w:rsid w:val="00FE35EF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F4AF890-ACDD-4ED5-A218-D63E3827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0BB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071C-0EC5-418F-BD79-6FB68A74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2534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Apolonia Walczyna</cp:lastModifiedBy>
  <cp:revision>2</cp:revision>
  <cp:lastPrinted>2021-11-23T12:26:00Z</cp:lastPrinted>
  <dcterms:created xsi:type="dcterms:W3CDTF">2024-07-25T07:34:00Z</dcterms:created>
  <dcterms:modified xsi:type="dcterms:W3CDTF">2024-07-25T07:34:00Z</dcterms:modified>
</cp:coreProperties>
</file>