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F6" w:rsidRPr="00A47130" w:rsidRDefault="00421D8D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A47130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196DF6" w:rsidRPr="00A47130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bookmarkStart w:id="0" w:name="_GoBack"/>
            <w:r w:rsidRPr="00A47130">
              <w:rPr>
                <w:rFonts w:eastAsia="Arial"/>
                <w:b/>
                <w:sz w:val="28"/>
                <w:szCs w:val="28"/>
              </w:rPr>
              <w:t>Metody numeryczne</w:t>
            </w:r>
            <w:bookmarkEnd w:id="0"/>
          </w:p>
        </w:tc>
      </w:tr>
    </w:tbl>
    <w:p w:rsidR="00196DF6" w:rsidRPr="00A47130" w:rsidRDefault="00421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A47130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Informatyka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Studia pierwszego stopnia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196DF6" w:rsidRPr="00A47130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196DF6" w:rsidRPr="00A47130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196DF6" w:rsidRPr="00A47130" w:rsidRDefault="00196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1.5. Wydział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Wydział Nauk Technicznych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1.6.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nie dotyczy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1.7.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Marcin Ważny</w:t>
            </w:r>
          </w:p>
        </w:tc>
      </w:tr>
    </w:tbl>
    <w:p w:rsidR="00196DF6" w:rsidRPr="00A47130" w:rsidRDefault="00421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A47130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kierunkowy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2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polski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2.4.</w:t>
            </w:r>
            <w:r w:rsidRPr="00A47130">
              <w:rPr>
                <w:rFonts w:eastAsia="Arial"/>
              </w:rPr>
              <w:t xml:space="preserve"> </w:t>
            </w:r>
            <w:r w:rsidRPr="00A47130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V</w:t>
            </w:r>
          </w:p>
        </w:tc>
      </w:tr>
      <w:tr w:rsidR="00196DF6" w:rsidRPr="00A4713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</w:rPr>
              <w:t>nie dotyczy</w:t>
            </w:r>
          </w:p>
        </w:tc>
      </w:tr>
    </w:tbl>
    <w:p w:rsidR="00196DF6" w:rsidRPr="00A47130" w:rsidRDefault="00421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A47130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196DF6" w:rsidRPr="00A47130" w:rsidRDefault="00421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A47130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196DF6" w:rsidRPr="00A47130" w:rsidTr="00A47130">
        <w:trPr>
          <w:trHeight w:val="230"/>
        </w:trPr>
        <w:tc>
          <w:tcPr>
            <w:tcW w:w="566" w:type="dxa"/>
            <w:vMerge w:val="restart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4" w:type="dxa"/>
            <w:vMerge w:val="restart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196DF6" w:rsidRPr="00A47130" w:rsidTr="00A47130">
        <w:trPr>
          <w:trHeight w:val="264"/>
        </w:trPr>
        <w:tc>
          <w:tcPr>
            <w:tcW w:w="566" w:type="dxa"/>
            <w:vMerge/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4" w:type="dxa"/>
            <w:vMerge/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196DF6" w:rsidRPr="00A47130" w:rsidTr="00A47130">
        <w:trPr>
          <w:trHeight w:val="397"/>
        </w:trPr>
        <w:tc>
          <w:tcPr>
            <w:tcW w:w="566" w:type="dxa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C1</w:t>
            </w:r>
          </w:p>
        </w:tc>
        <w:tc>
          <w:tcPr>
            <w:tcW w:w="8504" w:type="dxa"/>
            <w:vAlign w:val="center"/>
          </w:tcPr>
          <w:p w:rsidR="00196DF6" w:rsidRPr="00A47130" w:rsidRDefault="00421D8D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Przekazanie podstawowej wiedzy o sposobach rozwiązywania problemów matematycznych przy pomocy komputerów.</w:t>
            </w:r>
          </w:p>
        </w:tc>
      </w:tr>
      <w:tr w:rsidR="00196DF6" w:rsidRPr="00A47130" w:rsidTr="00A47130">
        <w:trPr>
          <w:trHeight w:val="397"/>
        </w:trPr>
        <w:tc>
          <w:tcPr>
            <w:tcW w:w="566" w:type="dxa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C2</w:t>
            </w:r>
          </w:p>
        </w:tc>
        <w:tc>
          <w:tcPr>
            <w:tcW w:w="8504" w:type="dxa"/>
            <w:vAlign w:val="center"/>
          </w:tcPr>
          <w:p w:rsidR="00196DF6" w:rsidRPr="00A47130" w:rsidRDefault="00421D8D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Zdobycie umiejętności programowania algorytmów numerycznych.</w:t>
            </w: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196DF6" w:rsidRPr="00A47130" w:rsidRDefault="00421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A47130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A47130">
        <w:rPr>
          <w:rFonts w:eastAsia="Arial"/>
          <w:b/>
          <w:smallCaps/>
          <w:color w:val="000000"/>
          <w:sz w:val="22"/>
          <w:szCs w:val="22"/>
        </w:rPr>
        <w:t>wiedzę</w:t>
      </w:r>
      <w:r w:rsidRPr="00A47130">
        <w:rPr>
          <w:rFonts w:eastAsia="Arial"/>
          <w:b/>
          <w:color w:val="000000"/>
          <w:sz w:val="22"/>
          <w:szCs w:val="22"/>
        </w:rPr>
        <w:t xml:space="preserve">, </w:t>
      </w:r>
      <w:r w:rsidRPr="00A47130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A47130">
        <w:rPr>
          <w:rFonts w:eastAsia="Arial"/>
          <w:b/>
          <w:color w:val="000000"/>
          <w:sz w:val="22"/>
          <w:szCs w:val="22"/>
        </w:rPr>
        <w:t xml:space="preserve"> i</w:t>
      </w:r>
      <w:r w:rsidRPr="00A47130">
        <w:rPr>
          <w:rFonts w:eastAsia="Arial"/>
          <w:b/>
          <w:sz w:val="22"/>
          <w:szCs w:val="22"/>
        </w:rPr>
        <w:t> </w:t>
      </w:r>
      <w:r w:rsidRPr="00A47130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A47130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196DF6" w:rsidRPr="00A47130" w:rsidTr="00A47130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196DF6" w:rsidRPr="00A47130" w:rsidTr="00A47130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NST</w:t>
            </w:r>
          </w:p>
        </w:tc>
      </w:tr>
      <w:tr w:rsidR="00196DF6" w:rsidRPr="00A47130" w:rsidTr="00A47130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4713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47130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4713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47130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A47130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A47130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196DF6" w:rsidRPr="00A47130" w:rsidTr="00A47130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 xml:space="preserve">Po zaliczeniu przedmiotu student w zakresie </w:t>
            </w:r>
            <w:r w:rsidRPr="00A47130">
              <w:rPr>
                <w:rFonts w:eastAsia="Arial"/>
                <w:b/>
                <w:smallCaps/>
                <w:color w:val="000000"/>
              </w:rPr>
              <w:t>wiedzy</w:t>
            </w:r>
            <w:r w:rsidRPr="00A47130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196DF6" w:rsidRPr="00A47130" w:rsidTr="00A4713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Student zna matematyczne podstawy metod numerycznych.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INF_W02, INF_W11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 w:rsidTr="00A47130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lastRenderedPageBreak/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Student zna obszary zastosowań metod numerycznych.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INF_W19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 w:rsidTr="00A47130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Student zna złożoność obliczeniową oraz źródła błędów podstawowych metod numerycznych.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INF_W02, INF_W11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 w:rsidTr="00A47130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W4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Student zna i rozumie matematyczne podstawy metod służących do interpolacji, całkowania, generowania liczb pseudolosowych oraz rozwiązywania równań różniczkowych zwyczajnych.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INF_W02, INF_W11, INF_W19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196DF6" w:rsidRPr="00A47130" w:rsidRDefault="00421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A47130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196DF6" w:rsidRPr="00A47130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A47130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196DF6" w:rsidRPr="00A4713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196DF6" w:rsidRPr="00A4713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A47130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A47130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196DF6" w:rsidRPr="00A47130" w:rsidRDefault="00421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A47130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A47130">
        <w:rPr>
          <w:rFonts w:eastAsia="Arial"/>
          <w:color w:val="000000"/>
          <w:sz w:val="22"/>
          <w:szCs w:val="22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prowadzone z wykorzystaniem metod </w:t>
      </w:r>
      <w:r w:rsidRPr="00A47130">
        <w:rPr>
          <w:rFonts w:eastAsia="Arial"/>
          <w:color w:val="000000"/>
          <w:sz w:val="22"/>
          <w:szCs w:val="22"/>
        </w:rPr>
        <w:t>i technik kształcenia na odległość)</w:t>
      </w:r>
    </w:p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196DF6" w:rsidRPr="00A47130" w:rsidRDefault="00421D8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A47130">
        <w:rPr>
          <w:rFonts w:eastAsia="Arial"/>
          <w:b/>
          <w:color w:val="000000"/>
        </w:rPr>
        <w:t>RODZAJ ZAJĘĆ:</w:t>
      </w:r>
      <w:r w:rsidRPr="00A47130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196DF6" w:rsidRPr="00A47130">
        <w:trPr>
          <w:trHeight w:val="1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196DF6" w:rsidRPr="00A47130">
        <w:trPr>
          <w:trHeight w:val="1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NST</w:t>
            </w:r>
          </w:p>
        </w:tc>
      </w:tr>
      <w:tr w:rsidR="00196DF6" w:rsidRPr="00A4713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  <w:sz w:val="16"/>
                <w:szCs w:val="16"/>
              </w:rPr>
              <w:t>OBOWIĄZKOWE / DODATKOWE*</w:t>
            </w:r>
            <w:r w:rsidRPr="00A47130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A47130">
              <w:rPr>
                <w:rFonts w:eastAsia="Arial"/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  <w:sz w:val="16"/>
                <w:szCs w:val="16"/>
              </w:rPr>
              <w:t xml:space="preserve">OBOWIĄZKOWE / </w:t>
            </w:r>
            <w:r w:rsidRPr="00A47130">
              <w:rPr>
                <w:rFonts w:eastAsia="Arial"/>
                <w:strike/>
                <w:color w:val="000000"/>
                <w:sz w:val="16"/>
                <w:szCs w:val="16"/>
              </w:rPr>
              <w:t>DODATKOWE</w:t>
            </w:r>
            <w:r w:rsidRPr="00A47130">
              <w:rPr>
                <w:rFonts w:eastAsia="Arial"/>
                <w:color w:val="000000"/>
                <w:sz w:val="16"/>
                <w:szCs w:val="16"/>
              </w:rPr>
              <w:t>* ZAJĘCIA NA PLATFORMIE</w:t>
            </w:r>
          </w:p>
        </w:tc>
      </w:tr>
      <w:tr w:rsidR="00196DF6" w:rsidRPr="00A471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A47130">
              <w:rPr>
                <w:rFonts w:eastAsia="Arial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rPr>
                <w:rFonts w:eastAsia="Arial"/>
              </w:rPr>
            </w:pPr>
            <w:r w:rsidRPr="00A47130">
              <w:rPr>
                <w:rFonts w:eastAsia="Arial"/>
              </w:rPr>
              <w:t>Wstęp do metod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A47130">
              <w:rPr>
                <w:rFonts w:eastAsia="Arial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rPr>
                <w:rFonts w:eastAsia="Arial"/>
              </w:rPr>
            </w:pPr>
            <w:r w:rsidRPr="00A47130">
              <w:rPr>
                <w:rFonts w:eastAsia="Arial"/>
              </w:rPr>
              <w:t>Błędy w metodach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A47130">
              <w:rPr>
                <w:rFonts w:eastAsia="Arial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rPr>
                <w:rFonts w:eastAsia="Arial"/>
              </w:rPr>
            </w:pPr>
            <w:r w:rsidRPr="00A47130">
              <w:rPr>
                <w:rFonts w:eastAsia="Arial"/>
              </w:rPr>
              <w:t>Interpolacja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A47130">
              <w:rPr>
                <w:rFonts w:eastAsia="Arial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rPr>
                <w:rFonts w:eastAsia="Arial"/>
              </w:rPr>
            </w:pPr>
            <w:r w:rsidRPr="00A47130">
              <w:rPr>
                <w:rFonts w:eastAsia="Arial"/>
              </w:rPr>
              <w:t>Całkowanie numeryczne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A47130">
              <w:rPr>
                <w:rFonts w:eastAsia="Arial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rPr>
                <w:rFonts w:eastAsia="Arial"/>
              </w:rPr>
            </w:pPr>
            <w:r w:rsidRPr="00A47130">
              <w:rPr>
                <w:rFonts w:eastAsia="Arial"/>
              </w:rPr>
              <w:t>Generatory liczb pseudolosowych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A47130">
              <w:rPr>
                <w:rFonts w:eastAsia="Arial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rPr>
                <w:rFonts w:eastAsia="Arial"/>
              </w:rPr>
            </w:pPr>
            <w:r w:rsidRPr="00A47130">
              <w:rPr>
                <w:rFonts w:eastAsia="Arial"/>
              </w:rPr>
              <w:t>Metody Monte Carlo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  <w:tr w:rsidR="00196DF6" w:rsidRPr="00A471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A47130">
              <w:rPr>
                <w:rFonts w:eastAsia="Arial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rPr>
                <w:rFonts w:eastAsia="Arial"/>
              </w:rPr>
            </w:pPr>
            <w:r w:rsidRPr="00A47130">
              <w:rPr>
                <w:rFonts w:eastAsia="Arial"/>
              </w:rPr>
              <w:t>Równania różniczkowe zwyczajne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x</w:t>
            </w: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196DF6" w:rsidRPr="00A47130" w:rsidRDefault="00421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A47130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A47130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A47130">
        <w:rPr>
          <w:rFonts w:eastAsia="Arial"/>
          <w:color w:val="000000"/>
          <w:sz w:val="22"/>
          <w:szCs w:val="22"/>
        </w:rPr>
        <w:t>case</w:t>
      </w:r>
      <w:proofErr w:type="spellEnd"/>
      <w:r w:rsidRPr="00A47130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A47130">
        <w:rPr>
          <w:rFonts w:eastAsia="Arial"/>
          <w:color w:val="000000"/>
          <w:sz w:val="22"/>
          <w:szCs w:val="22"/>
        </w:rPr>
        <w:t>study</w:t>
      </w:r>
      <w:proofErr w:type="spellEnd"/>
      <w:r w:rsidRPr="00A47130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</w:t>
      </w:r>
      <w:r w:rsidRPr="00A47130">
        <w:rPr>
          <w:rFonts w:eastAsia="Arial"/>
          <w:color w:val="000000"/>
          <w:sz w:val="22"/>
          <w:szCs w:val="22"/>
        </w:rPr>
        <w:t>ych, symulacje sytuacji, wizyta studyjna, gry symulacyjne + opis danej metody):</w:t>
      </w:r>
    </w:p>
    <w:p w:rsidR="00196DF6" w:rsidRPr="00A47130" w:rsidRDefault="00421D8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A47130">
        <w:rPr>
          <w:rFonts w:eastAsia="Arial"/>
          <w:sz w:val="22"/>
          <w:szCs w:val="22"/>
        </w:rPr>
        <w:t>Wykład: egzamin</w:t>
      </w:r>
    </w:p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196DF6" w:rsidRPr="00A47130" w:rsidRDefault="00421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A47130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196DF6" w:rsidRPr="00A4713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A47130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A47130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196DF6" w:rsidRPr="00A47130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A47130"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matematyczne podstawy prostych metod numerycznych.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matematyczne podstawy omawianych metod numerycznych.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matematyczne podstawy omawianych metod numerycznych oraz prezentuje wiedzę wykraczającą poza zakres wykładu.</w:t>
            </w:r>
          </w:p>
        </w:tc>
      </w:tr>
      <w:tr w:rsidR="00196DF6" w:rsidRPr="00A47130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A47130"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podstawowe obszary zastosowań metod numerycznych.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obszary zastosowań metod numerycznych.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obszary zastosowań metod numerycznych.</w:t>
            </w:r>
          </w:p>
        </w:tc>
      </w:tr>
      <w:tr w:rsidR="00196DF6" w:rsidRPr="00A47130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tabs>
                <w:tab w:val="left" w:pos="-5814"/>
              </w:tabs>
              <w:jc w:val="center"/>
            </w:pPr>
            <w:r w:rsidRPr="00A47130"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złożoność obliczeniową prostych metod numerycznych.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złożoność obliczeniową omówionych metod numerycznych.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złożoność obliczeniową oraz źródła błędów w omówionych meto</w:t>
            </w:r>
            <w:r w:rsidRPr="00A47130">
              <w:rPr>
                <w:sz w:val="18"/>
                <w:szCs w:val="18"/>
              </w:rPr>
              <w:t>dach numerycznych.</w:t>
            </w:r>
          </w:p>
        </w:tc>
      </w:tr>
      <w:tr w:rsidR="00196DF6" w:rsidRPr="00A47130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tabs>
                <w:tab w:val="left" w:pos="-5814"/>
              </w:tabs>
              <w:jc w:val="center"/>
            </w:pPr>
            <w:r w:rsidRPr="00A47130">
              <w:t>W4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i rozumie matematyczne podstawy prostych metod interpolacji, całkowania oraz generowania liczb pseudolosowych.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i rozumie matematyczne podstawy metod interpolacji, całkowania oraz generowania liczb pseudolosowy</w:t>
            </w:r>
            <w:r w:rsidRPr="00A47130">
              <w:rPr>
                <w:sz w:val="18"/>
                <w:szCs w:val="18"/>
              </w:rPr>
              <w:t>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F6" w:rsidRPr="00A47130" w:rsidRDefault="00421D8D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A47130">
              <w:rPr>
                <w:sz w:val="18"/>
                <w:szCs w:val="18"/>
              </w:rPr>
              <w:t>Student zna i rozumie matematyczne podstawy metod interpolacji, całkowania, generowania liczb pseudolosowych oraz rozwiązywania równań różniczkowych zwyczajnych.</w:t>
            </w: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196DF6" w:rsidRPr="00A47130" w:rsidRDefault="00421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A47130">
        <w:rPr>
          <w:rFonts w:eastAsia="Arial"/>
          <w:b/>
          <w:color w:val="000000"/>
          <w:sz w:val="22"/>
          <w:szCs w:val="22"/>
        </w:rPr>
        <w:t>Zalecana literatura</w:t>
      </w:r>
    </w:p>
    <w:p w:rsidR="00196DF6" w:rsidRPr="00A47130" w:rsidRDefault="00421D8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sz w:val="22"/>
          <w:szCs w:val="22"/>
        </w:rPr>
      </w:pPr>
      <w:r w:rsidRPr="00A47130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196DF6" w:rsidRPr="00A47130" w:rsidRDefault="00421D8D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A47130">
        <w:rPr>
          <w:sz w:val="22"/>
          <w:szCs w:val="22"/>
        </w:rPr>
        <w:t xml:space="preserve">P. Mikołajczak, M. Ważny. </w:t>
      </w:r>
      <w:r w:rsidRPr="00A47130">
        <w:rPr>
          <w:i/>
          <w:sz w:val="22"/>
          <w:szCs w:val="22"/>
        </w:rPr>
        <w:t>Metody numeryczne w C++.</w:t>
      </w:r>
      <w:r w:rsidRPr="00A47130">
        <w:rPr>
          <w:sz w:val="22"/>
          <w:szCs w:val="22"/>
        </w:rPr>
        <w:t xml:space="preserve"> Instytut Informatyki UMCS, Lublin, 2012.</w:t>
      </w:r>
    </w:p>
    <w:p w:rsidR="00196DF6" w:rsidRPr="00A47130" w:rsidRDefault="00421D8D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A47130">
        <w:rPr>
          <w:sz w:val="22"/>
          <w:szCs w:val="22"/>
        </w:rPr>
        <w:t xml:space="preserve">R. </w:t>
      </w:r>
      <w:proofErr w:type="spellStart"/>
      <w:r w:rsidRPr="00A47130">
        <w:rPr>
          <w:sz w:val="22"/>
          <w:szCs w:val="22"/>
        </w:rPr>
        <w:t>Hornbeck</w:t>
      </w:r>
      <w:proofErr w:type="spellEnd"/>
      <w:r w:rsidRPr="00A47130">
        <w:rPr>
          <w:sz w:val="22"/>
          <w:szCs w:val="22"/>
        </w:rPr>
        <w:t xml:space="preserve">. </w:t>
      </w:r>
      <w:proofErr w:type="spellStart"/>
      <w:r w:rsidRPr="00A47130">
        <w:rPr>
          <w:i/>
          <w:sz w:val="22"/>
          <w:szCs w:val="22"/>
        </w:rPr>
        <w:t>Numerical</w:t>
      </w:r>
      <w:proofErr w:type="spellEnd"/>
      <w:r w:rsidRPr="00A47130">
        <w:rPr>
          <w:i/>
          <w:sz w:val="22"/>
          <w:szCs w:val="22"/>
        </w:rPr>
        <w:t xml:space="preserve"> </w:t>
      </w:r>
      <w:proofErr w:type="spellStart"/>
      <w:r w:rsidRPr="00A47130">
        <w:rPr>
          <w:i/>
          <w:sz w:val="22"/>
          <w:szCs w:val="22"/>
        </w:rPr>
        <w:t>Methods</w:t>
      </w:r>
      <w:proofErr w:type="spellEnd"/>
      <w:r w:rsidRPr="00A47130">
        <w:rPr>
          <w:sz w:val="22"/>
          <w:szCs w:val="22"/>
        </w:rPr>
        <w:t xml:space="preserve">. Quantum </w:t>
      </w:r>
      <w:proofErr w:type="spellStart"/>
      <w:r w:rsidRPr="00A47130">
        <w:rPr>
          <w:sz w:val="22"/>
          <w:szCs w:val="22"/>
        </w:rPr>
        <w:t>Publishers</w:t>
      </w:r>
      <w:proofErr w:type="spellEnd"/>
      <w:r w:rsidRPr="00A47130">
        <w:rPr>
          <w:sz w:val="22"/>
          <w:szCs w:val="22"/>
        </w:rPr>
        <w:t>, Inc., New York, 1975.</w:t>
      </w:r>
    </w:p>
    <w:p w:rsidR="00196DF6" w:rsidRPr="00A47130" w:rsidRDefault="00421D8D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A47130">
        <w:rPr>
          <w:sz w:val="22"/>
          <w:szCs w:val="22"/>
        </w:rPr>
        <w:t xml:space="preserve">R. Johnston. </w:t>
      </w:r>
      <w:proofErr w:type="spellStart"/>
      <w:r w:rsidRPr="00A47130">
        <w:rPr>
          <w:i/>
          <w:sz w:val="22"/>
          <w:szCs w:val="22"/>
        </w:rPr>
        <w:t>Numerical</w:t>
      </w:r>
      <w:proofErr w:type="spellEnd"/>
      <w:r w:rsidRPr="00A47130">
        <w:rPr>
          <w:i/>
          <w:sz w:val="22"/>
          <w:szCs w:val="22"/>
        </w:rPr>
        <w:t xml:space="preserve"> </w:t>
      </w:r>
      <w:proofErr w:type="spellStart"/>
      <w:r w:rsidRPr="00A47130">
        <w:rPr>
          <w:i/>
          <w:sz w:val="22"/>
          <w:szCs w:val="22"/>
        </w:rPr>
        <w:t>Methods</w:t>
      </w:r>
      <w:proofErr w:type="spellEnd"/>
      <w:r w:rsidRPr="00A47130">
        <w:rPr>
          <w:sz w:val="22"/>
          <w:szCs w:val="22"/>
        </w:rPr>
        <w:t xml:space="preserve">. John </w:t>
      </w:r>
      <w:proofErr w:type="spellStart"/>
      <w:r w:rsidRPr="00A47130">
        <w:rPr>
          <w:sz w:val="22"/>
          <w:szCs w:val="22"/>
        </w:rPr>
        <w:t>Wiley</w:t>
      </w:r>
      <w:proofErr w:type="spellEnd"/>
      <w:r w:rsidRPr="00A47130">
        <w:rPr>
          <w:sz w:val="22"/>
          <w:szCs w:val="22"/>
        </w:rPr>
        <w:t xml:space="preserve"> &amp; Sons, New York, 1982.</w:t>
      </w:r>
    </w:p>
    <w:p w:rsidR="00196DF6" w:rsidRPr="00A47130" w:rsidRDefault="00421D8D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A47130">
        <w:rPr>
          <w:rFonts w:eastAsia="Arial"/>
          <w:b/>
          <w:smallCaps/>
          <w:color w:val="000000"/>
          <w:sz w:val="22"/>
          <w:szCs w:val="22"/>
        </w:rPr>
        <w:t>U</w:t>
      </w:r>
      <w:r w:rsidRPr="00A47130">
        <w:rPr>
          <w:rFonts w:eastAsia="Arial"/>
          <w:b/>
          <w:color w:val="000000"/>
          <w:sz w:val="22"/>
          <w:szCs w:val="22"/>
        </w:rPr>
        <w:t>zupełniająca</w:t>
      </w:r>
    </w:p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196DF6" w:rsidRPr="00A47130" w:rsidRDefault="00421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A47130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196DF6" w:rsidRPr="00A47130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196DF6" w:rsidRPr="00A47130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6DF6" w:rsidRPr="00A47130" w:rsidRDefault="00196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47130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196DF6" w:rsidRPr="00A47130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196DF6" w:rsidRPr="00A47130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10</w:t>
            </w:r>
          </w:p>
        </w:tc>
      </w:tr>
      <w:tr w:rsidR="00196DF6" w:rsidRPr="00A47130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196DF6" w:rsidRPr="00A47130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lastRenderedPageBreak/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196DF6" w:rsidRPr="00A47130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30</w:t>
            </w:r>
          </w:p>
        </w:tc>
      </w:tr>
      <w:tr w:rsidR="00196DF6" w:rsidRPr="00A47130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10</w:t>
            </w:r>
          </w:p>
        </w:tc>
      </w:tr>
      <w:tr w:rsidR="00196DF6" w:rsidRPr="00A47130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50</w:t>
            </w:r>
          </w:p>
        </w:tc>
      </w:tr>
      <w:tr w:rsidR="00196DF6" w:rsidRPr="00A47130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A47130">
              <w:rPr>
                <w:rFonts w:eastAsia="Arial"/>
              </w:rPr>
              <w:t>2</w:t>
            </w: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196DF6" w:rsidRPr="00A47130">
        <w:tc>
          <w:tcPr>
            <w:tcW w:w="2490" w:type="dxa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sz w:val="22"/>
                <w:szCs w:val="22"/>
              </w:rPr>
              <w:t>15.10.2020</w:t>
            </w:r>
          </w:p>
        </w:tc>
      </w:tr>
      <w:tr w:rsidR="00196DF6" w:rsidRPr="00A47130">
        <w:tc>
          <w:tcPr>
            <w:tcW w:w="2490" w:type="dxa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196DF6" w:rsidRPr="00A47130">
        <w:tc>
          <w:tcPr>
            <w:tcW w:w="2490" w:type="dxa"/>
          </w:tcPr>
          <w:p w:rsidR="00196DF6" w:rsidRPr="00A47130" w:rsidRDefault="004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A47130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196DF6" w:rsidRPr="00A47130" w:rsidRDefault="0019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196DF6" w:rsidRPr="00A47130" w:rsidRDefault="00196DF6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196DF6" w:rsidRPr="00A47130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8D" w:rsidRDefault="00421D8D">
      <w:r>
        <w:separator/>
      </w:r>
    </w:p>
  </w:endnote>
  <w:endnote w:type="continuationSeparator" w:id="0">
    <w:p w:rsidR="00421D8D" w:rsidRDefault="004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F6" w:rsidRDefault="00196D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8D" w:rsidRDefault="00421D8D">
      <w:r>
        <w:separator/>
      </w:r>
    </w:p>
  </w:footnote>
  <w:footnote w:type="continuationSeparator" w:id="0">
    <w:p w:rsidR="00421D8D" w:rsidRDefault="00421D8D">
      <w:r>
        <w:continuationSeparator/>
      </w:r>
    </w:p>
  </w:footnote>
  <w:footnote w:id="1">
    <w:p w:rsidR="00196DF6" w:rsidRDefault="00421D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:rsidR="00196DF6" w:rsidRDefault="00421D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F6" w:rsidRDefault="00196DF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ACE"/>
    <w:multiLevelType w:val="multilevel"/>
    <w:tmpl w:val="B376647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79930AD"/>
    <w:multiLevelType w:val="multilevel"/>
    <w:tmpl w:val="32507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AC6570"/>
    <w:multiLevelType w:val="multilevel"/>
    <w:tmpl w:val="A36629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6"/>
    <w:rsid w:val="00196DF6"/>
    <w:rsid w:val="00421D8D"/>
    <w:rsid w:val="00A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9301-6BCE-4E8A-B214-44B254C7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Apolonia Walczyna</dc:creator>
  <cp:lastModifiedBy>Apolonia Walczyna</cp:lastModifiedBy>
  <cp:revision>2</cp:revision>
  <dcterms:created xsi:type="dcterms:W3CDTF">2020-12-07T07:29:00Z</dcterms:created>
  <dcterms:modified xsi:type="dcterms:W3CDTF">2020-12-07T07:29:00Z</dcterms:modified>
</cp:coreProperties>
</file>