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48" w:rsidRDefault="0078087F" w:rsidP="0078087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</w:pPr>
      <w:r w:rsidRPr="0078087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 xml:space="preserve">WYKAZ ZAGADNIEŃ NA EGZAMIN DYPLOMOWY DLA KIERUNKU </w:t>
      </w:r>
      <w:r w:rsidRPr="0078087F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br/>
        <w:t>STOSUNKI MIĘDZYNARODOWE</w:t>
      </w:r>
      <w:r w:rsidR="00D84848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78087F" w:rsidRPr="0078087F" w:rsidRDefault="00D84848" w:rsidP="0078087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Pytania ujednolicone dla wszystkich naborów</w:t>
      </w:r>
    </w:p>
    <w:p w:rsidR="00D84848" w:rsidRDefault="00D84848" w:rsidP="0078087F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78087F" w:rsidRPr="0078087F" w:rsidRDefault="00D84848" w:rsidP="0078087F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Część ogólna pytań. Pytania obowiązują wszystkich studentów</w:t>
      </w:r>
      <w:r w:rsidR="0085305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</w:t>
      </w:r>
    </w:p>
    <w:p w:rsidR="0078087F" w:rsidRPr="0078087F" w:rsidRDefault="0078087F" w:rsidP="0078087F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8087F" w:rsidRDefault="0078087F" w:rsidP="007808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Współczesne stosunki międzynarodowe (charakterystyka)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Uczestnicy stosunków międzynarodowych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Państwa suwerenne, państwa upadłe i quasi-państwa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Mocarstwo globalne, regionalne, sektorowe (charakterystyka)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proofErr w:type="spellStart"/>
      <w:r>
        <w:t>Postwestfalski</w:t>
      </w:r>
      <w:proofErr w:type="spellEnd"/>
      <w:r>
        <w:t xml:space="preserve"> ład międzynarodowy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Funkcje państwa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Instrumenty polityki zagranicznej państwa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Kompetencje władzy ustawodawczej i wykonawczej  w dziedzinie polityki zagranicznej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Trendy we współczesnej dyplomacji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Podmiotowy i przedmiotowy zakres dyplomacji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Klasy i rangi przedstawicieli dyplomatycznych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Funkcje dyplomatyczne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Podstawowe immunitety i przywileje dyplomatyczne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Pojęcie i istota prawa międzynarodowego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Źródła prawa międzynarodowego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 xml:space="preserve">Podmiotowość </w:t>
      </w:r>
      <w:proofErr w:type="spellStart"/>
      <w:r>
        <w:t>prawnomędzynarodowa</w:t>
      </w:r>
      <w:proofErr w:type="spellEnd"/>
    </w:p>
    <w:p w:rsidR="0078087F" w:rsidRDefault="0078087F" w:rsidP="0078087F">
      <w:pPr>
        <w:pStyle w:val="Akapitzlist"/>
        <w:numPr>
          <w:ilvl w:val="0"/>
          <w:numId w:val="4"/>
        </w:numPr>
      </w:pPr>
      <w:r>
        <w:t>Zwierzchnictwo terytorialne i jego ograniczenia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Sposoby nabycia obywatelstwa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Organizacje międzynarodowe – klasyfikacja, organy, kompetencje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Zasady działania ONZ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Szczególna rola Rady Bezpieczeństwa ONZ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Sposoby pokojowego rozstrzygania sporów międzynarodowych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Legalne użycie siły w stosunkach międzynarodowych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Istota, mechanizmy i płaszczyzny procesów globalizacji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Proces integracji europejskiej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Główne organy UE i ich kompetencje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Obywatelstwo UE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WPZ i B UE, jej organy i kompetencje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Kompetencje Trybunału Sprawiedliwości UE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WPB i O UE – struktura zarządzania i dowodzenia, siły i środki militarne UE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Polityka Sąsiedztwa UE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Zarzadzanie przez państwa unijne  funduszami UE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NATO – funkcje, organy zarzadzania i dowodzenia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Zasady działania NATO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Procedura uzyskania członkostwa w NATO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Proces rozszerzenia NATO  od 1999 r.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Proces integracji Euroazjatyckiej Wspólnoty Gospodarczej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 xml:space="preserve">Funkcjonowanie </w:t>
      </w:r>
      <w:proofErr w:type="spellStart"/>
      <w:r>
        <w:t>Szanghańskiej</w:t>
      </w:r>
      <w:proofErr w:type="spellEnd"/>
      <w:r>
        <w:t xml:space="preserve"> Organizacji Współpracy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Ewolucja bezpieczeństwa międzynarodowego po zakończeniu (?) zimnej wojny.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Współczesne zagrożenia międzynarodowe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Współczesne konflikty zbrojne – charakterystyka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Prawne ograniczenia konfliktów zbrojnych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lastRenderedPageBreak/>
        <w:t>Systemy gospodarcze ich cechy i rodzaje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Problem zadłużenia państw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Rola Banku Światowego i Międzynarodowego Funduszu Walutowego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Pozycja USA w gospodarce światowej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Rola rynków wschodzących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Handel zagraniczny – głowni eksporterzy i importerzy nośników energii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>Rynek i jego funkcje w handlu zagranicznym</w:t>
      </w:r>
    </w:p>
    <w:p w:rsidR="0078087F" w:rsidRDefault="0078087F" w:rsidP="0078087F">
      <w:pPr>
        <w:pStyle w:val="Akapitzlist"/>
        <w:numPr>
          <w:ilvl w:val="0"/>
          <w:numId w:val="4"/>
        </w:numPr>
      </w:pPr>
      <w:r>
        <w:t xml:space="preserve">Funkcjonowanie strefy euro </w:t>
      </w:r>
    </w:p>
    <w:p w:rsidR="0078087F" w:rsidRPr="0078087F" w:rsidRDefault="0078087F" w:rsidP="007808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8087F" w:rsidRPr="0078087F" w:rsidRDefault="0078087F" w:rsidP="0078087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8087F" w:rsidRPr="0078087F" w:rsidRDefault="00CC2524" w:rsidP="0078087F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CC2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Uwaga! W zależności od wybranej specjalności oraz tematyki pracy studentowi zostanie wskazana przez promotora jedna cześć z pytań szczegółowych.</w:t>
      </w:r>
      <w:r w:rsidR="00D848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Następnie promotor pracy poinformuję członków komisji egzaminacyjnej o </w:t>
      </w:r>
      <w:r w:rsidR="0085305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wyznaczonej </w:t>
      </w:r>
      <w:r w:rsidR="00D8484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puli pytań. </w:t>
      </w:r>
    </w:p>
    <w:p w:rsidR="00D84848" w:rsidRDefault="00D84848" w:rsidP="00CC2524">
      <w:pPr>
        <w:rPr>
          <w:b/>
        </w:rPr>
      </w:pPr>
    </w:p>
    <w:p w:rsidR="00CC2524" w:rsidRDefault="00CC2524" w:rsidP="00CC2524">
      <w:pPr>
        <w:rPr>
          <w:b/>
        </w:rPr>
      </w:pPr>
      <w:r w:rsidRPr="00CC2524">
        <w:rPr>
          <w:b/>
        </w:rPr>
        <w:t>Pytania szczegółowe do</w:t>
      </w:r>
      <w:r w:rsidR="0078087F" w:rsidRPr="00CC2524">
        <w:rPr>
          <w:b/>
        </w:rPr>
        <w:t xml:space="preserve"> modułów</w:t>
      </w:r>
      <w:r>
        <w:rPr>
          <w:b/>
        </w:rPr>
        <w:t xml:space="preserve"> i specjalności.</w:t>
      </w:r>
    </w:p>
    <w:p w:rsidR="0078087F" w:rsidRPr="00CC2524" w:rsidRDefault="0078087F" w:rsidP="00CC2524">
      <w:pPr>
        <w:pStyle w:val="Akapitzlist"/>
        <w:numPr>
          <w:ilvl w:val="0"/>
          <w:numId w:val="6"/>
        </w:numPr>
        <w:rPr>
          <w:b/>
        </w:rPr>
      </w:pPr>
      <w:r w:rsidRPr="00CC2524">
        <w:rPr>
          <w:b/>
        </w:rPr>
        <w:t>Wprowadzenie do S</w:t>
      </w:r>
      <w:r w:rsidR="00CC2524" w:rsidRPr="00CC2524">
        <w:rPr>
          <w:b/>
        </w:rPr>
        <w:t>tosunków międ</w:t>
      </w:r>
      <w:r w:rsidR="00D84848">
        <w:rPr>
          <w:b/>
        </w:rPr>
        <w:t>zynarodowych. Państwo. Prawo.</w:t>
      </w:r>
      <w:r w:rsidR="00CC2524" w:rsidRPr="00CC2524">
        <w:rPr>
          <w:b/>
        </w:rPr>
        <w:t xml:space="preserve"> Systemy polityczne.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Wpływ globalizacji na suwerenność państw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korporacji w kształtowaniu polityki zagranicznej państw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Dwupoziomowy układ SM (państwa i pomioty niepaństwowe)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technologii informatycznych w SM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Wykorzystywanie przestrzeni wirtualnej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i hard </w:t>
      </w:r>
      <w:proofErr w:type="spellStart"/>
      <w:r>
        <w:t>power</w:t>
      </w:r>
      <w:proofErr w:type="spellEnd"/>
      <w:r>
        <w:t xml:space="preserve"> w polityce zagranicznej państw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Pojęcie i cechy społeczeństwa obywatelskiego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Pojęcie dobra wspólnego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System parlamentarny na przykładzie W. Brytanii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System prezydencki na przykładzie USA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System </w:t>
      </w:r>
      <w:proofErr w:type="spellStart"/>
      <w:r>
        <w:t>semi</w:t>
      </w:r>
      <w:proofErr w:type="spellEnd"/>
      <w:r>
        <w:t>-prezydencki na przykładzie współczesnej Francji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Monarchia konstytucyjna na przykładzie Królestwa Szwecji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Cechy systemu totalitarnego i autorytarnego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Tworzenie nowego ładu międzynarodowego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Odpowiedzialność sądowa za łamanie norm prawa międzynarodowego</w:t>
      </w:r>
    </w:p>
    <w:p w:rsidR="0078087F" w:rsidRDefault="0078087F" w:rsidP="0078087F">
      <w:pPr>
        <w:pStyle w:val="Akapitzlist"/>
      </w:pPr>
    </w:p>
    <w:p w:rsidR="0078087F" w:rsidRPr="00CC2524" w:rsidRDefault="00CC2524" w:rsidP="00CC2524">
      <w:pPr>
        <w:rPr>
          <w:b/>
        </w:rPr>
      </w:pPr>
      <w:r>
        <w:rPr>
          <w:b/>
        </w:rPr>
        <w:t xml:space="preserve">b) </w:t>
      </w:r>
      <w:r w:rsidRPr="00CC2524">
        <w:rPr>
          <w:b/>
        </w:rPr>
        <w:t>Bezpieczeństwo międzynarodowe</w:t>
      </w:r>
    </w:p>
    <w:p w:rsidR="0078087F" w:rsidRDefault="0078087F" w:rsidP="0078087F">
      <w:pPr>
        <w:pStyle w:val="Akapitzlist"/>
      </w:pP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Zasady systemu bezpieczeństwa zbiorowego w ramach ONZ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Zasady kolektywnej obrony w ramach NATO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Zasady kolektywnej obrony w ramach Organizacji Układu o Zbiorowym Bezpieczeństwie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Funkcjonowanie OBWE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Prawne ograniczenia sił konwencjonalnych w Europie (układy CFE i CFE 1A)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Wojskowe środki budowy zaufania i bezpieczeństwa w Europie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Ograniczenie zbrojeń strategicznych między USA a ZSRR/Federacją Rosyjską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Strefy pokojowe na świecie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Współczesne  konflikty zbrojne – „zamrożone” i „gorące”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Problemy bezpieczeństwa energetycznego we współczesnym świecie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Problemy demograficzne współczesnego świata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Współczesne problemy ekologiczne 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lastRenderedPageBreak/>
        <w:t>Problem głodu na świecie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Problemy migracji – przyczyny, główne kierunki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Globalizacja zagrożeń – przestępczość zorganizowana i cyberprzestępczość</w:t>
      </w:r>
    </w:p>
    <w:p w:rsidR="0078087F" w:rsidRDefault="0078087F" w:rsidP="0078087F">
      <w:pPr>
        <w:pStyle w:val="Akapitzlist"/>
      </w:pPr>
    </w:p>
    <w:p w:rsidR="0078087F" w:rsidRPr="00D84848" w:rsidRDefault="00CC2524" w:rsidP="00D84848">
      <w:pPr>
        <w:rPr>
          <w:b/>
        </w:rPr>
      </w:pPr>
      <w:r w:rsidRPr="00CC2524">
        <w:rPr>
          <w:b/>
        </w:rPr>
        <w:t xml:space="preserve">c) </w:t>
      </w:r>
      <w:r w:rsidR="0078087F" w:rsidRPr="00CC2524">
        <w:rPr>
          <w:b/>
        </w:rPr>
        <w:t>Integracja europejska i prawo wspólnoto</w:t>
      </w:r>
      <w:r w:rsidRPr="00CC2524">
        <w:rPr>
          <w:b/>
        </w:rPr>
        <w:t>we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Pojęcie i historyczny rozwój integracji europejskiej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Koncepcje integracji europejskiej (federalizm, konfederacja, funkcjonalizm)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Ustanowienie wspólnot europejskich (EWWS – 1951, EWD,EWEA – 1957)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Traktat z </w:t>
      </w:r>
      <w:proofErr w:type="spellStart"/>
      <w:r>
        <w:t>Maastricht</w:t>
      </w:r>
      <w:proofErr w:type="spellEnd"/>
      <w:r>
        <w:t xml:space="preserve"> – 1992 – ustanowienie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Traktat Amsterdamski – 1997 – zmiany w prawie instytucjonalnym i funkcjonalnym wspólnot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Traktat Nicejski – najważniejsze zmiany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Traktat Lizboński – zmiany prawno-ustrojowe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„Klauzule solidarności”  w Traktacie Lizbońskim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Główne instytucje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System podejmowania decyzji w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Rada Europejska – skład , kompetencje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Rada Unii Europejskiej – skład, kompetencje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Komisja Europejska – skład , kompetencje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Parlament Europejski – skład, organizacja wewnętrzna , funkcje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Prawo pierwotne i wtórne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Cechy prawa wspólnotowego ( bezpośrednia stosowalność, bezpośrednia skuteczność, nadrzędny charakter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 Aktualne problemy UE</w:t>
      </w:r>
    </w:p>
    <w:p w:rsidR="0078087F" w:rsidRDefault="0078087F" w:rsidP="0078087F">
      <w:pPr>
        <w:pStyle w:val="Akapitzlist"/>
      </w:pPr>
    </w:p>
    <w:p w:rsidR="0078087F" w:rsidRPr="00CC2524" w:rsidRDefault="00CC2524" w:rsidP="00CC2524">
      <w:pPr>
        <w:rPr>
          <w:b/>
        </w:rPr>
      </w:pPr>
      <w:r w:rsidRPr="00CC2524">
        <w:rPr>
          <w:b/>
        </w:rPr>
        <w:t xml:space="preserve">d) </w:t>
      </w:r>
      <w:r w:rsidR="0078087F" w:rsidRPr="00CC2524">
        <w:rPr>
          <w:b/>
        </w:rPr>
        <w:t>Po</w:t>
      </w:r>
      <w:r w:rsidRPr="00CC2524">
        <w:rPr>
          <w:b/>
        </w:rPr>
        <w:t>lityka zagraniczna i kulturalna</w:t>
      </w:r>
    </w:p>
    <w:p w:rsidR="0078087F" w:rsidRDefault="0078087F" w:rsidP="0078087F">
      <w:pPr>
        <w:pStyle w:val="Akapitzlist"/>
      </w:pP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Miejsce polityki zagranicznej w polityce bezpieczeństwa państw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głowy państwa w SM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premiera w SM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Ministra Spraw Zagranicznych w SM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 Stałe i doraźne misje dyplomatyczne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Funkcje przedstawicielstw dyplomatycznych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Procedura obję</w:t>
      </w:r>
      <w:r w:rsidR="0085305E">
        <w:t>cia stanowiska przez ambasadora</w:t>
      </w:r>
      <w:bookmarkStart w:id="0" w:name="_GoBack"/>
      <w:bookmarkEnd w:id="0"/>
    </w:p>
    <w:p w:rsidR="0078087F" w:rsidRDefault="0078087F" w:rsidP="0078087F">
      <w:pPr>
        <w:pStyle w:val="Akapitzlist"/>
        <w:numPr>
          <w:ilvl w:val="0"/>
          <w:numId w:val="1"/>
        </w:numPr>
      </w:pPr>
      <w:r>
        <w:t>Dyplomacje resortowe ( wojskowa, gospodarcza, kulturalna)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Zasada nietykalności dyplomatów i obiektów dyplomatycznych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MSZ – struktura wewnętrzna i funkcjonowania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Kryteria doboru kandydatów do służby zagranicznej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i funkcjonowanie UNESCO (aktualne problemy tej organizacji)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Główne założenia polskiej polityki zagranicznej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Stosunki Polski z sąsiadami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Płaszczyzny realizacji polskiej polityki zagranicznej (NATO, UE, ONZ oraz fora współpracy – Trójkąt Weimarski, Grupa Wyszehradzka)</w:t>
      </w:r>
    </w:p>
    <w:p w:rsidR="0078087F" w:rsidRPr="00CC2524" w:rsidRDefault="00CC2524" w:rsidP="0078087F">
      <w:pPr>
        <w:rPr>
          <w:b/>
        </w:rPr>
      </w:pPr>
      <w:r w:rsidRPr="00CC2524">
        <w:rPr>
          <w:b/>
        </w:rPr>
        <w:t xml:space="preserve">e) </w:t>
      </w:r>
      <w:r w:rsidR="0078087F" w:rsidRPr="00CC2524">
        <w:rPr>
          <w:b/>
        </w:rPr>
        <w:t>O</w:t>
      </w:r>
      <w:r w:rsidR="00D84848">
        <w:rPr>
          <w:b/>
        </w:rPr>
        <w:t>r</w:t>
      </w:r>
      <w:r w:rsidR="0078087F" w:rsidRPr="00CC2524">
        <w:rPr>
          <w:b/>
        </w:rPr>
        <w:t>ganizacje m</w:t>
      </w:r>
      <w:r>
        <w:rPr>
          <w:b/>
        </w:rPr>
        <w:t xml:space="preserve">iędzynarodowe, </w:t>
      </w:r>
      <w:r w:rsidRPr="00CC2524">
        <w:rPr>
          <w:b/>
        </w:rPr>
        <w:t>prawa człowieka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Typologia organizacji międzynarodowych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Znaczenia prawa weta stałych członków Rady Bezpieczeństwa ONZ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lastRenderedPageBreak/>
        <w:t xml:space="preserve">Sojusze wojskowe (NATO, </w:t>
      </w:r>
      <w:proofErr w:type="spellStart"/>
      <w:r>
        <w:t>OUoZB</w:t>
      </w:r>
      <w:proofErr w:type="spellEnd"/>
      <w:r>
        <w:t>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Zasady podejmowania decyzji politycznych i polityczno-wojskowych w NATO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Organizacje współpracy politycznej i ekonomicznej (UE, Unia Afrykańska, Organizacja Państw Amerykańskich)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Komunikacja międzykulturowa (na przykładzie Francji, Niemiec, Szwecji)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Zasady polityki wizowej i azylowej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Główne zasady funkcjonowania strefy </w:t>
      </w:r>
      <w:proofErr w:type="spellStart"/>
      <w:r>
        <w:t>Schengen</w:t>
      </w:r>
      <w:proofErr w:type="spellEnd"/>
      <w:r>
        <w:t xml:space="preserve"> w kontekście migracji z Afryki i Bliskiego Wschodu</w:t>
      </w:r>
    </w:p>
    <w:p w:rsidR="0078087F" w:rsidRDefault="0078087F" w:rsidP="0085305E">
      <w:pPr>
        <w:pStyle w:val="Akapitzlist"/>
        <w:numPr>
          <w:ilvl w:val="0"/>
          <w:numId w:val="1"/>
        </w:numPr>
      </w:pPr>
      <w:r>
        <w:t xml:space="preserve">Międzynarodowa ochrona praw człowieka po II wojnie </w:t>
      </w:r>
      <w:r w:rsidR="0085305E">
        <w:t xml:space="preserve">światowe </w:t>
      </w:r>
      <w:r>
        <w:t>(w Europie Europejska Konwencja Praw Człowieka – 1950)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Główne postanowienia międzynarodowych regulacji praw człowieka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Procedura postepowania przed Europejską Komisją Praw Człowieka i Europejskim Trybunałem Praw Człowieka</w:t>
      </w:r>
    </w:p>
    <w:p w:rsidR="0078087F" w:rsidRDefault="0078087F" w:rsidP="0078087F"/>
    <w:p w:rsidR="0078087F" w:rsidRPr="0085305E" w:rsidRDefault="00CC2524" w:rsidP="0078087F">
      <w:pPr>
        <w:rPr>
          <w:b/>
        </w:rPr>
      </w:pPr>
      <w:r>
        <w:rPr>
          <w:b/>
        </w:rPr>
        <w:t xml:space="preserve">f) </w:t>
      </w:r>
      <w:r w:rsidR="0078087F" w:rsidRPr="00CC2524">
        <w:rPr>
          <w:b/>
        </w:rPr>
        <w:t>Ek</w:t>
      </w:r>
      <w:r w:rsidR="00D84848">
        <w:rPr>
          <w:b/>
        </w:rPr>
        <w:t>onomia. S</w:t>
      </w:r>
      <w:r w:rsidRPr="00CC2524">
        <w:rPr>
          <w:b/>
        </w:rPr>
        <w:t>tosunki gospodarcze</w:t>
      </w:r>
      <w:r w:rsidR="00D84848">
        <w:rPr>
          <w:b/>
        </w:rPr>
        <w:t xml:space="preserve">. Współpraca transgraniczna i biznes międzynarodowy. 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Organizacje integracji zachodnioeuropejskiej – UE i Europejskim Stowarzyszeniem Wolnego Handlu (EFTA) , wzajemne relacje (krótka charakterystyka)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Europejskiego Banku Centralnego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Etapy wprowadzania euro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Współpraca transgraniczna w ramach UE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Współpraca w ramach EUROREGIONU BUG.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 xml:space="preserve">Fundusze </w:t>
      </w:r>
      <w:proofErr w:type="spellStart"/>
      <w:r>
        <w:t>Struktularne</w:t>
      </w:r>
      <w:proofErr w:type="spellEnd"/>
      <w:r>
        <w:t xml:space="preserve">  UE – krótka charakterystyka</w:t>
      </w:r>
    </w:p>
    <w:p w:rsidR="0078087F" w:rsidRDefault="0078087F" w:rsidP="0078087F">
      <w:pPr>
        <w:pStyle w:val="Akapitzlist"/>
        <w:numPr>
          <w:ilvl w:val="0"/>
          <w:numId w:val="1"/>
        </w:numPr>
      </w:pPr>
      <w:r>
        <w:t>Rola Światowej Organizacji Handlu (WTO)</w:t>
      </w:r>
    </w:p>
    <w:p w:rsidR="0078087F" w:rsidRDefault="0078087F" w:rsidP="0078087F">
      <w:pPr>
        <w:pStyle w:val="Akapitzlist"/>
      </w:pPr>
    </w:p>
    <w:p w:rsidR="0078087F" w:rsidRDefault="0078087F" w:rsidP="0078087F"/>
    <w:p w:rsidR="00E94BA4" w:rsidRDefault="00E94BA4"/>
    <w:sectPr w:rsidR="00E9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5D"/>
    <w:multiLevelType w:val="hybridMultilevel"/>
    <w:tmpl w:val="62A23594"/>
    <w:lvl w:ilvl="0" w:tplc="0E8C7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18C"/>
    <w:multiLevelType w:val="hybridMultilevel"/>
    <w:tmpl w:val="4920B5D2"/>
    <w:lvl w:ilvl="0" w:tplc="3C16A92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F60C4"/>
    <w:multiLevelType w:val="hybridMultilevel"/>
    <w:tmpl w:val="F820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B5F12"/>
    <w:multiLevelType w:val="hybridMultilevel"/>
    <w:tmpl w:val="E886EAD6"/>
    <w:lvl w:ilvl="0" w:tplc="1DAA51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F5009680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4074A"/>
    <w:multiLevelType w:val="hybridMultilevel"/>
    <w:tmpl w:val="A1442B3E"/>
    <w:lvl w:ilvl="0" w:tplc="9B0A3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3A7E"/>
    <w:multiLevelType w:val="hybridMultilevel"/>
    <w:tmpl w:val="6DA25B1A"/>
    <w:lvl w:ilvl="0" w:tplc="8662C3D8">
      <w:start w:val="1"/>
      <w:numFmt w:val="decimal"/>
      <w:lvlText w:val="%1."/>
      <w:lvlJc w:val="left"/>
      <w:pPr>
        <w:tabs>
          <w:tab w:val="num" w:pos="1080"/>
        </w:tabs>
        <w:ind w:left="108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2C"/>
    <w:rsid w:val="0078087F"/>
    <w:rsid w:val="0085305E"/>
    <w:rsid w:val="00881A2C"/>
    <w:rsid w:val="00CC2524"/>
    <w:rsid w:val="00D84848"/>
    <w:rsid w:val="00E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CE2F"/>
  <w15:chartTrackingRefBased/>
  <w15:docId w15:val="{53CA1FCF-BC3E-4B08-AEE0-BD43DD55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8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Maria Mazur</cp:lastModifiedBy>
  <cp:revision>3</cp:revision>
  <dcterms:created xsi:type="dcterms:W3CDTF">2018-10-01T08:45:00Z</dcterms:created>
  <dcterms:modified xsi:type="dcterms:W3CDTF">2018-10-01T09:07:00Z</dcterms:modified>
</cp:coreProperties>
</file>